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napToGrid w:val="0"/>
        <w:spacing w:line="560" w:lineRule="exact"/>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pPr>
        <w:keepNext w:val="0"/>
        <w:keepLines w:val="0"/>
        <w:pageBreakBefore w:val="0"/>
        <w:widowControl w:val="0"/>
        <w:snapToGrid w:val="0"/>
        <w:spacing w:line="560" w:lineRule="exact"/>
        <w:jc w:val="center"/>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val="0"/>
        <w:snapToGrid w:val="0"/>
        <w:spacing w:line="560" w:lineRule="exact"/>
        <w:jc w:val="center"/>
        <w:outlineLvl w:val="9"/>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深圳市建筑工务署</w:t>
      </w:r>
      <w:r>
        <w:rPr>
          <w:rFonts w:hint="default" w:ascii="方正小标宋简体" w:hAnsi="方正小标宋简体" w:eastAsia="方正小标宋简体" w:cs="方正小标宋简体"/>
          <w:sz w:val="36"/>
          <w:szCs w:val="36"/>
          <w:lang w:val="en-US"/>
        </w:rPr>
        <w:t xml:space="preserve"> </w:t>
      </w:r>
      <w:r>
        <w:rPr>
          <w:rFonts w:hint="eastAsia" w:ascii="方正小标宋简体" w:hAnsi="方正小标宋简体" w:eastAsia="方正小标宋简体" w:cs="方正小标宋简体"/>
          <w:sz w:val="36"/>
          <w:szCs w:val="36"/>
        </w:rPr>
        <w:t>深圳市建筑工务署</w:t>
      </w:r>
      <w:r>
        <w:rPr>
          <w:rFonts w:hint="eastAsia" w:ascii="方正小标宋简体" w:hAnsi="方正小标宋简体" w:eastAsia="方正小标宋简体" w:cs="方正小标宋简体"/>
          <w:sz w:val="36"/>
          <w:szCs w:val="36"/>
          <w:lang w:eastAsia="zh-CN"/>
        </w:rPr>
        <w:t>教育</w:t>
      </w:r>
      <w:r>
        <w:rPr>
          <w:rFonts w:hint="eastAsia" w:ascii="方正小标宋简体" w:hAnsi="方正小标宋简体" w:eastAsia="方正小标宋简体" w:cs="方正小标宋简体"/>
          <w:sz w:val="36"/>
          <w:szCs w:val="36"/>
        </w:rPr>
        <w:t>工程管理中心202</w:t>
      </w:r>
      <w:r>
        <w:rPr>
          <w:rFonts w:hint="default" w:ascii="方正小标宋简体" w:hAnsi="方正小标宋简体" w:eastAsia="方正小标宋简体" w:cs="方正小标宋简体"/>
          <w:sz w:val="36"/>
          <w:szCs w:val="36"/>
          <w:lang w:val="en-US" w:eastAsia="zh-CN"/>
        </w:rPr>
        <w:t>6</w:t>
      </w:r>
      <w:r>
        <w:rPr>
          <w:rFonts w:hint="eastAsia" w:ascii="方正小标宋简体" w:hAnsi="方正小标宋简体" w:eastAsia="方正小标宋简体" w:cs="方正小标宋简体"/>
          <w:sz w:val="36"/>
          <w:szCs w:val="36"/>
        </w:rPr>
        <w:t>-202</w:t>
      </w:r>
      <w:r>
        <w:rPr>
          <w:rFonts w:hint="default" w:ascii="方正小标宋简体" w:hAnsi="方正小标宋简体" w:eastAsia="方正小标宋简体" w:cs="方正小标宋简体"/>
          <w:sz w:val="36"/>
          <w:szCs w:val="36"/>
          <w:lang w:val="en-US" w:eastAsia="zh-CN"/>
        </w:rPr>
        <w:t>7</w:t>
      </w:r>
      <w:r>
        <w:rPr>
          <w:rFonts w:hint="eastAsia" w:ascii="方正小标宋简体" w:hAnsi="方正小标宋简体" w:eastAsia="方正小标宋简体" w:cs="方正小标宋简体"/>
          <w:sz w:val="36"/>
          <w:szCs w:val="36"/>
        </w:rPr>
        <w:t>年度</w:t>
      </w:r>
      <w:r>
        <w:rPr>
          <w:rFonts w:hint="eastAsia" w:ascii="方正小标宋简体" w:hAnsi="方正小标宋简体" w:eastAsia="方正小标宋简体" w:cs="方正小标宋简体"/>
          <w:sz w:val="36"/>
          <w:szCs w:val="36"/>
          <w:lang w:eastAsia="zh-CN"/>
        </w:rPr>
        <w:t>常年</w:t>
      </w:r>
      <w:r>
        <w:rPr>
          <w:rFonts w:hint="eastAsia" w:ascii="方正小标宋简体" w:hAnsi="方正小标宋简体" w:eastAsia="方正小标宋简体" w:cs="方正小标宋简体"/>
          <w:sz w:val="36"/>
          <w:szCs w:val="36"/>
        </w:rPr>
        <w:t>法律</w:t>
      </w:r>
      <w:r>
        <w:rPr>
          <w:rFonts w:hint="eastAsia" w:ascii="方正小标宋简体" w:hAnsi="方正小标宋简体" w:eastAsia="方正小标宋简体" w:cs="方正小标宋简体"/>
          <w:sz w:val="36"/>
          <w:szCs w:val="36"/>
          <w:lang w:eastAsia="zh-CN"/>
        </w:rPr>
        <w:t>顾问项目招标</w:t>
      </w:r>
      <w:r>
        <w:rPr>
          <w:rFonts w:hint="eastAsia" w:ascii="方正小标宋简体" w:hAnsi="方正小标宋简体" w:eastAsia="方正小标宋简体" w:cs="方正小标宋简体"/>
          <w:sz w:val="36"/>
          <w:szCs w:val="36"/>
        </w:rPr>
        <w:t xml:space="preserve">公告 </w:t>
      </w:r>
    </w:p>
    <w:p>
      <w:pPr>
        <w:keepNext w:val="0"/>
        <w:keepLines w:val="0"/>
        <w:pageBreakBefore w:val="0"/>
        <w:widowControl w:val="0"/>
        <w:snapToGrid w:val="0"/>
        <w:spacing w:line="560" w:lineRule="exact"/>
        <w:outlineLvl w:val="9"/>
        <w:rPr>
          <w:rFonts w:hint="eastAsia" w:ascii="仿宋_GB2312" w:hAnsi="仿宋_GB2312" w:eastAsia="仿宋_GB2312" w:cs="仿宋_GB2312"/>
          <w:sz w:val="32"/>
          <w:szCs w:val="32"/>
        </w:rPr>
      </w:pPr>
      <w:r>
        <w:rPr>
          <w:rFonts w:hint="eastAsia"/>
        </w:rPr>
        <w:t>　</w:t>
      </w:r>
      <w:r>
        <w:rPr>
          <w:rFonts w:hint="eastAsia" w:ascii="仿宋_GB2312" w:hAnsi="仿宋_GB2312" w:eastAsia="仿宋_GB2312" w:cs="仿宋_GB2312"/>
          <w:sz w:val="32"/>
          <w:szCs w:val="32"/>
        </w:rPr>
        <w:t>　</w:t>
      </w:r>
    </w:p>
    <w:p>
      <w:pPr>
        <w:keepNext w:val="0"/>
        <w:keepLines w:val="0"/>
        <w:pageBreakBefore w:val="0"/>
        <w:widowControl w:val="0"/>
        <w:snapToGrid w:val="0"/>
        <w:spacing w:before="157" w:beforeLines="50" w:line="560" w:lineRule="exact"/>
        <w:ind w:firstLine="640" w:firstLineChars="200"/>
        <w:outlineLvl w:val="9"/>
        <w:rPr>
          <w:rFonts w:hint="eastAsia" w:ascii="黑体" w:hAnsi="黑体" w:eastAsia="黑体" w:cs="黑体"/>
          <w:sz w:val="32"/>
          <w:szCs w:val="32"/>
          <w:lang w:eastAsia="zh-CN"/>
        </w:rPr>
      </w:pPr>
      <w:r>
        <w:rPr>
          <w:rFonts w:hint="eastAsia" w:ascii="黑体" w:hAnsi="黑体" w:eastAsia="黑体" w:cs="黑体"/>
          <w:sz w:val="32"/>
          <w:szCs w:val="32"/>
        </w:rPr>
        <w:t>一、</w:t>
      </w:r>
      <w:r>
        <w:rPr>
          <w:rFonts w:hint="eastAsia" w:ascii="黑体" w:hAnsi="黑体" w:eastAsia="黑体" w:cs="黑体"/>
          <w:sz w:val="32"/>
          <w:szCs w:val="32"/>
          <w:lang w:eastAsia="zh-CN"/>
        </w:rPr>
        <w:t>项目基本情况</w:t>
      </w:r>
    </w:p>
    <w:p>
      <w:pPr>
        <w:keepNext w:val="0"/>
        <w:keepLines w:val="0"/>
        <w:pageBreakBefore w:val="0"/>
        <w:widowControl w:val="0"/>
        <w:snapToGrid w:val="0"/>
        <w:spacing w:before="157" w:beforeLines="50" w:line="560" w:lineRule="exact"/>
        <w:ind w:firstLine="640" w:firstLineChars="200"/>
        <w:jc w:val="left"/>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持续提升招标人法治建设能力和水平，建立健全专业合规的法律风险防控体系，提高政府工程建设风险管控能力，确保在法治轨道上优质高效推进政府工程建设，深圳市建筑工务署、深圳市建筑工务署教育工程管理中心决定联合开展202</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年度常年法律顾问项目招标（以下简称“本项目”），具体如下：</w:t>
      </w:r>
    </w:p>
    <w:p>
      <w:pPr>
        <w:keepNext w:val="0"/>
        <w:keepLines w:val="0"/>
        <w:pageBreakBefore w:val="0"/>
        <w:widowControl w:val="0"/>
        <w:snapToGrid w:val="0"/>
        <w:spacing w:before="157" w:beforeLines="50" w:line="560" w:lineRule="exact"/>
        <w:ind w:firstLine="640" w:firstLineChars="200"/>
        <w:jc w:val="left"/>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1.招标人：深圳市建筑工务署、深圳市建筑工务署教育工程管理中心</w:t>
      </w:r>
    </w:p>
    <w:tbl>
      <w:tblPr>
        <w:tblStyle w:val="2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0"/>
        <w:gridCol w:w="1634"/>
        <w:gridCol w:w="2026"/>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0"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子项目名称</w:t>
            </w:r>
          </w:p>
        </w:tc>
        <w:tc>
          <w:tcPr>
            <w:tcW w:w="1634"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服务期限</w:t>
            </w:r>
          </w:p>
        </w:tc>
        <w:tc>
          <w:tcPr>
            <w:tcW w:w="2026"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最高投标限价</w:t>
            </w:r>
          </w:p>
        </w:tc>
        <w:tc>
          <w:tcPr>
            <w:tcW w:w="2013"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合同主要条款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0" w:type="dxa"/>
            <w:noWrap w:val="0"/>
            <w:vAlign w:val="center"/>
          </w:tcPr>
          <w:p>
            <w:pPr>
              <w:keepNext w:val="0"/>
              <w:keepLines w:val="0"/>
              <w:pageBreakBefore w:val="0"/>
              <w:widowControl w:val="0"/>
              <w:snapToGrid w:val="0"/>
              <w:spacing w:before="157" w:beforeLines="50" w:line="560" w:lineRule="exact"/>
              <w:jc w:val="both"/>
              <w:outlineLvl w:val="9"/>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深圳市建筑工务署202</w:t>
            </w:r>
            <w:r>
              <w:rPr>
                <w:rFonts w:hint="default" w:ascii="仿宋_GB2312" w:hAnsi="仿宋_GB2312" w:eastAsia="仿宋_GB2312" w:cs="仿宋_GB2312"/>
                <w:sz w:val="28"/>
                <w:szCs w:val="28"/>
                <w:vertAlign w:val="baseline"/>
                <w:lang w:val="en-US" w:eastAsia="zh-CN"/>
              </w:rPr>
              <w:t>6</w:t>
            </w:r>
            <w:r>
              <w:rPr>
                <w:rFonts w:hint="eastAsia" w:ascii="仿宋_GB2312" w:hAnsi="仿宋_GB2312" w:eastAsia="仿宋_GB2312" w:cs="仿宋_GB2312"/>
                <w:sz w:val="28"/>
                <w:szCs w:val="28"/>
                <w:vertAlign w:val="baseline"/>
                <w:lang w:val="en-US" w:eastAsia="zh-CN"/>
              </w:rPr>
              <w:t>-202</w:t>
            </w:r>
            <w:r>
              <w:rPr>
                <w:rFonts w:hint="default" w:ascii="仿宋_GB2312" w:hAnsi="仿宋_GB2312" w:eastAsia="仿宋_GB2312" w:cs="仿宋_GB2312"/>
                <w:sz w:val="28"/>
                <w:szCs w:val="28"/>
                <w:vertAlign w:val="baseline"/>
                <w:lang w:val="en-US" w:eastAsia="zh-CN"/>
              </w:rPr>
              <w:t>7</w:t>
            </w:r>
            <w:r>
              <w:rPr>
                <w:rFonts w:hint="eastAsia" w:ascii="仿宋_GB2312" w:hAnsi="仿宋_GB2312" w:eastAsia="仿宋_GB2312" w:cs="仿宋_GB2312"/>
                <w:sz w:val="28"/>
                <w:szCs w:val="28"/>
                <w:vertAlign w:val="baseline"/>
                <w:lang w:val="en-US" w:eastAsia="zh-CN"/>
              </w:rPr>
              <w:t>年度常年法律顾问项目</w:t>
            </w:r>
          </w:p>
        </w:tc>
        <w:tc>
          <w:tcPr>
            <w:tcW w:w="1634"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1年</w:t>
            </w:r>
          </w:p>
        </w:tc>
        <w:tc>
          <w:tcPr>
            <w:tcW w:w="2026" w:type="dxa"/>
            <w:noWrap w:val="0"/>
            <w:vAlign w:val="center"/>
          </w:tcPr>
          <w:p>
            <w:pPr>
              <w:keepNext w:val="0"/>
              <w:keepLines w:val="0"/>
              <w:pageBreakBefore w:val="0"/>
              <w:widowControl w:val="0"/>
              <w:snapToGrid w:val="0"/>
              <w:spacing w:before="157" w:beforeLines="50" w:line="560" w:lineRule="exact"/>
              <w:jc w:val="center"/>
              <w:outlineLvl w:val="9"/>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4</w:t>
            </w:r>
            <w:r>
              <w:rPr>
                <w:rFonts w:hint="default" w:ascii="仿宋_GB2312" w:hAnsi="仿宋_GB2312" w:eastAsia="仿宋_GB2312" w:cs="仿宋_GB2312"/>
                <w:sz w:val="28"/>
                <w:szCs w:val="28"/>
                <w:vertAlign w:val="baseline"/>
                <w:lang w:val="en-US" w:eastAsia="zh-CN"/>
              </w:rPr>
              <w:t>2</w:t>
            </w:r>
            <w:r>
              <w:rPr>
                <w:rFonts w:hint="eastAsia" w:ascii="仿宋_GB2312" w:hAnsi="仿宋_GB2312" w:eastAsia="仿宋_GB2312" w:cs="仿宋_GB2312"/>
                <w:sz w:val="28"/>
                <w:szCs w:val="28"/>
                <w:vertAlign w:val="baseline"/>
                <w:lang w:val="en-US" w:eastAsia="zh-CN"/>
              </w:rPr>
              <w:t>万元</w:t>
            </w:r>
          </w:p>
        </w:tc>
        <w:tc>
          <w:tcPr>
            <w:tcW w:w="2013" w:type="dxa"/>
            <w:noWrap w:val="0"/>
            <w:vAlign w:val="center"/>
          </w:tcPr>
          <w:p>
            <w:pPr>
              <w:keepNext w:val="0"/>
              <w:keepLines w:val="0"/>
              <w:pageBreakBefore w:val="0"/>
              <w:widowControl w:val="0"/>
              <w:snapToGrid w:val="0"/>
              <w:spacing w:before="157" w:beforeLines="50" w:line="560" w:lineRule="exact"/>
              <w:jc w:val="center"/>
              <w:outlineLvl w:val="9"/>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详见附件6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0" w:type="dxa"/>
            <w:noWrap w:val="0"/>
            <w:vAlign w:val="center"/>
          </w:tcPr>
          <w:p>
            <w:pPr>
              <w:keepNext w:val="0"/>
              <w:keepLines w:val="0"/>
              <w:pageBreakBefore w:val="0"/>
              <w:widowControl w:val="0"/>
              <w:snapToGrid w:val="0"/>
              <w:spacing w:before="157" w:beforeLines="50" w:line="560" w:lineRule="exact"/>
              <w:jc w:val="both"/>
              <w:outlineLvl w:val="9"/>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深圳市建筑工务署教育工程管理中心202</w:t>
            </w:r>
            <w:r>
              <w:rPr>
                <w:rFonts w:hint="default" w:ascii="仿宋_GB2312" w:hAnsi="仿宋_GB2312" w:eastAsia="仿宋_GB2312" w:cs="仿宋_GB2312"/>
                <w:sz w:val="28"/>
                <w:szCs w:val="28"/>
                <w:vertAlign w:val="baseline"/>
                <w:lang w:val="en-US" w:eastAsia="zh-CN"/>
              </w:rPr>
              <w:t>6</w:t>
            </w:r>
            <w:r>
              <w:rPr>
                <w:rFonts w:hint="eastAsia" w:ascii="仿宋_GB2312" w:hAnsi="仿宋_GB2312" w:eastAsia="仿宋_GB2312" w:cs="仿宋_GB2312"/>
                <w:sz w:val="28"/>
                <w:szCs w:val="28"/>
                <w:vertAlign w:val="baseline"/>
                <w:lang w:val="en-US" w:eastAsia="zh-CN"/>
              </w:rPr>
              <w:t>-202</w:t>
            </w:r>
            <w:r>
              <w:rPr>
                <w:rFonts w:hint="default" w:ascii="仿宋_GB2312" w:hAnsi="仿宋_GB2312" w:eastAsia="仿宋_GB2312" w:cs="仿宋_GB2312"/>
                <w:sz w:val="28"/>
                <w:szCs w:val="28"/>
                <w:vertAlign w:val="baseline"/>
                <w:lang w:val="en-US" w:eastAsia="zh-CN"/>
              </w:rPr>
              <w:t>7</w:t>
            </w:r>
            <w:r>
              <w:rPr>
                <w:rFonts w:hint="eastAsia" w:ascii="仿宋_GB2312" w:hAnsi="仿宋_GB2312" w:eastAsia="仿宋_GB2312" w:cs="仿宋_GB2312"/>
                <w:sz w:val="28"/>
                <w:szCs w:val="28"/>
                <w:vertAlign w:val="baseline"/>
                <w:lang w:val="en-US" w:eastAsia="zh-CN"/>
              </w:rPr>
              <w:t>年度常年法律顾问项目</w:t>
            </w:r>
          </w:p>
        </w:tc>
        <w:tc>
          <w:tcPr>
            <w:tcW w:w="1634" w:type="dxa"/>
            <w:noWrap w:val="0"/>
            <w:vAlign w:val="center"/>
          </w:tcPr>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1年</w:t>
            </w:r>
          </w:p>
        </w:tc>
        <w:tc>
          <w:tcPr>
            <w:tcW w:w="2026" w:type="dxa"/>
            <w:noWrap w:val="0"/>
            <w:vAlign w:val="center"/>
          </w:tcPr>
          <w:p>
            <w:pPr>
              <w:keepNext w:val="0"/>
              <w:keepLines w:val="0"/>
              <w:pageBreakBefore w:val="0"/>
              <w:widowControl w:val="0"/>
              <w:snapToGrid w:val="0"/>
              <w:spacing w:before="157" w:beforeLines="50" w:line="560" w:lineRule="exact"/>
              <w:jc w:val="center"/>
              <w:outlineLvl w:val="9"/>
              <w:rPr>
                <w:rFonts w:hint="default" w:ascii="仿宋_GB2312" w:hAnsi="仿宋_GB2312" w:eastAsia="仿宋_GB2312" w:cs="仿宋_GB2312"/>
                <w:sz w:val="28"/>
                <w:szCs w:val="28"/>
                <w:vertAlign w:val="baseline"/>
                <w:lang w:val="en-US" w:eastAsia="zh-CN"/>
              </w:rPr>
            </w:pPr>
            <w:r>
              <w:rPr>
                <w:rFonts w:hint="default" w:ascii="仿宋_GB2312" w:hAnsi="仿宋_GB2312" w:eastAsia="仿宋_GB2312" w:cs="仿宋_GB2312"/>
                <w:sz w:val="28"/>
                <w:szCs w:val="28"/>
                <w:vertAlign w:val="baseline"/>
                <w:lang w:val="en-US" w:eastAsia="zh-CN"/>
              </w:rPr>
              <w:t>55</w:t>
            </w:r>
            <w:r>
              <w:rPr>
                <w:rFonts w:hint="eastAsia" w:ascii="仿宋_GB2312" w:hAnsi="仿宋_GB2312" w:eastAsia="仿宋_GB2312" w:cs="仿宋_GB2312"/>
                <w:sz w:val="28"/>
                <w:szCs w:val="28"/>
                <w:vertAlign w:val="baseline"/>
                <w:lang w:val="en-US" w:eastAsia="zh-CN"/>
              </w:rPr>
              <w:t>万元</w:t>
            </w:r>
          </w:p>
        </w:tc>
        <w:tc>
          <w:tcPr>
            <w:tcW w:w="2013" w:type="dxa"/>
            <w:noWrap w:val="0"/>
            <w:vAlign w:val="center"/>
          </w:tcPr>
          <w:p>
            <w:pPr>
              <w:keepNext w:val="0"/>
              <w:keepLines w:val="0"/>
              <w:pageBreakBefore w:val="0"/>
              <w:widowControl w:val="0"/>
              <w:snapToGrid w:val="0"/>
              <w:spacing w:before="157" w:beforeLines="50" w:line="560" w:lineRule="exact"/>
              <w:jc w:val="center"/>
              <w:outlineLvl w:val="9"/>
              <w:rPr>
                <w:rFonts w:hint="default"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详见附件7</w:t>
            </w:r>
          </w:p>
        </w:tc>
      </w:tr>
    </w:tbl>
    <w:p>
      <w:pPr>
        <w:keepNext w:val="0"/>
        <w:keepLines w:val="0"/>
        <w:pageBreakBefore w:val="0"/>
        <w:widowControl w:val="0"/>
        <w:snapToGrid w:val="0"/>
        <w:spacing w:before="157" w:beforeLines="50"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2.投标要求：本项目不接受联合体投标。</w:t>
      </w:r>
    </w:p>
    <w:p>
      <w:pPr>
        <w:keepNext w:val="0"/>
        <w:keepLines w:val="0"/>
        <w:pageBreakBefore w:val="0"/>
        <w:widowControl w:val="0"/>
        <w:snapToGrid w:val="0"/>
        <w:spacing w:before="157" w:beforeLines="50" w:line="560" w:lineRule="exact"/>
        <w:ind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3.定标方式：一次票决法。</w:t>
      </w:r>
    </w:p>
    <w:p>
      <w:pPr>
        <w:keepNext w:val="0"/>
        <w:keepLines w:val="0"/>
        <w:pageBreakBefore w:val="0"/>
        <w:widowControl w:val="0"/>
        <w:snapToGrid w:val="0"/>
        <w:spacing w:before="157" w:beforeLines="50"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4.定标票选范围：综合评分等级为优的入围候选人</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综合评分项及分值设定详见附件5）。</w:t>
      </w:r>
    </w:p>
    <w:p>
      <w:pPr>
        <w:keepNext w:val="0"/>
        <w:keepLines w:val="0"/>
        <w:pageBreakBefore w:val="0"/>
        <w:widowControl w:val="0"/>
        <w:snapToGrid w:val="0"/>
        <w:spacing w:before="157" w:beforeLines="50" w:line="560" w:lineRule="exact"/>
        <w:ind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5.定标择优参考要素：①现场服务人员得分②投标报价得分。</w:t>
      </w:r>
    </w:p>
    <w:p>
      <w:pPr>
        <w:keepNext w:val="0"/>
        <w:keepLines w:val="0"/>
        <w:pageBreakBefore w:val="0"/>
        <w:widowControl w:val="0"/>
        <w:snapToGrid w:val="0"/>
        <w:spacing w:before="157" w:beforeLines="50" w:line="560" w:lineRule="exact"/>
        <w:ind w:firstLine="640" w:firstLineChars="200"/>
        <w:jc w:val="left"/>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二、本项目投标人须符合下列要求</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1.投标人必须是在中华人民共和国境内取得司法部门执业许可的律师事务所或分所；</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2.投标人未被列入失信被执行人、重大税收违法案件当事人名单、政府采购严重违法失信行为记录名单</w:t>
      </w:r>
      <w:r>
        <w:rPr>
          <w:rFonts w:hint="default" w:ascii="仿宋_GB2312" w:hAnsi="仿宋_GB2312" w:eastAsia="仿宋_GB2312" w:cs="仿宋_GB2312"/>
          <w:sz w:val="32"/>
          <w:szCs w:val="32"/>
          <w:lang w:val="en-US" w:eastAsia="zh-CN"/>
        </w:rPr>
        <w:t>（投标人</w:t>
      </w:r>
      <w:r>
        <w:rPr>
          <w:rFonts w:hint="eastAsia" w:ascii="仿宋_GB2312" w:hAnsi="仿宋_GB2312" w:eastAsia="仿宋_GB2312" w:cs="仿宋_GB2312"/>
          <w:sz w:val="32"/>
          <w:szCs w:val="32"/>
          <w:lang w:val="en-US" w:eastAsia="zh-CN"/>
        </w:rPr>
        <w:t>可按附件2</w:t>
      </w:r>
      <w:r>
        <w:rPr>
          <w:rFonts w:hint="default" w:ascii="仿宋_GB2312" w:hAnsi="仿宋_GB2312" w:eastAsia="仿宋_GB2312" w:cs="仿宋_GB2312"/>
          <w:sz w:val="32"/>
          <w:szCs w:val="32"/>
          <w:lang w:val="en-US" w:eastAsia="zh-CN"/>
        </w:rPr>
        <w:t>出具承诺函)</w:t>
      </w:r>
      <w:r>
        <w:rPr>
          <w:rFonts w:hint="eastAsia" w:ascii="仿宋_GB2312" w:hAnsi="仿宋_GB2312" w:eastAsia="仿宋_GB2312" w:cs="仿宋_GB2312"/>
          <w:sz w:val="32"/>
          <w:szCs w:val="32"/>
          <w:lang w:val="en-US" w:eastAsia="zh-CN"/>
        </w:rPr>
        <w:t>；</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3.近3年未受到司法行政部门行政处罚和市级律师协会的行业处分；</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4.单位负责人为同一人或者存在直接控股、管理关系的不同投标人，不得参加同一合同项下的政府采购活动。</w:t>
      </w:r>
    </w:p>
    <w:p>
      <w:pPr>
        <w:keepNext w:val="0"/>
        <w:keepLines w:val="0"/>
        <w:pageBreakBefore w:val="0"/>
        <w:widowControl w:val="0"/>
        <w:snapToGrid w:val="0"/>
        <w:spacing w:before="157" w:beforeLines="50" w:line="560" w:lineRule="exact"/>
        <w:ind w:firstLine="640" w:firstLineChars="200"/>
        <w:jc w:val="left"/>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三、本项目负责人须符合下列要求</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1.具有中华人民共和国国籍；</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2.拥护中国共产党的领导，具有较高的政治素质、奉献精神和职业道德，品行良好；</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3.具有律师执业证书，并经行政主管部门年检合格；</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4.律师执业经验丰富，主要服务领域为建筑工程行业，在建设工程领域具有丰富的实务经验和处理建工领域复杂或疑难法律事务的能力；</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5.熟悉建设工程管理等方面法律法规，具有较高的政策法规宣讲培训能力；</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6.身体健康，能履行常年法律顾问职责；</w:t>
      </w:r>
    </w:p>
    <w:p>
      <w:pPr>
        <w:keepNext w:val="0"/>
        <w:keepLines w:val="0"/>
        <w:pageBreakBefore w:val="0"/>
        <w:widowControl w:val="0"/>
        <w:snapToGrid w:val="0"/>
        <w:spacing w:before="157" w:beforeLines="50" w:line="560" w:lineRule="exact"/>
        <w:ind w:firstLine="640" w:firstLineChars="200"/>
        <w:jc w:val="left"/>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7.法律法规规定和国家政策要求的履行本项目义务、责任所需的其他资格条件。</w:t>
      </w:r>
    </w:p>
    <w:p>
      <w:pPr>
        <w:keepNext w:val="0"/>
        <w:keepLines w:val="0"/>
        <w:pageBreakBefore w:val="0"/>
        <w:widowControl w:val="0"/>
        <w:snapToGrid w:val="0"/>
        <w:spacing w:before="157" w:beforeLines="50" w:line="560" w:lineRule="exact"/>
        <w:ind w:firstLine="640" w:firstLineChars="200"/>
        <w:outlineLvl w:val="9"/>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、投标</w:t>
      </w:r>
      <w:r>
        <w:rPr>
          <w:rFonts w:hint="eastAsia" w:ascii="黑体" w:hAnsi="黑体" w:eastAsia="黑体" w:cs="黑体"/>
          <w:sz w:val="32"/>
          <w:szCs w:val="32"/>
          <w:lang w:eastAsia="zh-CN"/>
        </w:rPr>
        <w:t>文件递交时间和地点</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递交时间：</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10：00前</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递交地点：</w:t>
      </w:r>
      <w:r>
        <w:rPr>
          <w:rFonts w:hint="eastAsia" w:ascii="仿宋_GB2312" w:hAnsi="仿宋_GB2312" w:eastAsia="仿宋_GB2312" w:cs="仿宋_GB2312"/>
          <w:sz w:val="32"/>
          <w:szCs w:val="32"/>
        </w:rPr>
        <w:t>深圳市福田区</w:t>
      </w:r>
      <w:r>
        <w:rPr>
          <w:rFonts w:hint="eastAsia" w:ascii="仿宋_GB2312" w:hAnsi="仿宋_GB2312" w:eastAsia="仿宋_GB2312" w:cs="仿宋_GB2312"/>
          <w:sz w:val="32"/>
          <w:szCs w:val="32"/>
          <w:lang w:eastAsia="zh-CN"/>
        </w:rPr>
        <w:t>侨香路</w:t>
      </w:r>
      <w:r>
        <w:rPr>
          <w:rFonts w:hint="eastAsia" w:ascii="仿宋_GB2312" w:hAnsi="仿宋_GB2312" w:eastAsia="仿宋_GB2312" w:cs="仿宋_GB2312"/>
          <w:sz w:val="32"/>
          <w:szCs w:val="32"/>
          <w:lang w:val="en-US" w:eastAsia="zh-CN"/>
        </w:rPr>
        <w:t>2008号深圳市建筑工务署教育工程管理中</w:t>
      </w:r>
      <w:r>
        <w:rPr>
          <w:rFonts w:hint="default" w:ascii="仿宋_GB2312" w:hAnsi="仿宋_GB2312" w:eastAsia="仿宋_GB2312" w:cs="仿宋_GB2312"/>
          <w:sz w:val="32"/>
          <w:szCs w:val="32"/>
          <w:lang w:val="en-US" w:eastAsia="zh-CN"/>
        </w:rPr>
        <w:t>心</w:t>
      </w:r>
      <w:r>
        <w:rPr>
          <w:rFonts w:hint="eastAsia" w:ascii="仿宋_GB2312" w:hAnsi="仿宋_GB2312" w:eastAsia="仿宋_GB2312" w:cs="仿宋_GB2312"/>
          <w:sz w:val="32"/>
          <w:szCs w:val="32"/>
          <w:lang w:val="en-US" w:eastAsia="zh-CN"/>
        </w:rPr>
        <w:t>305</w:t>
      </w:r>
      <w:r>
        <w:rPr>
          <w:rFonts w:hint="eastAsia" w:ascii="仿宋_GB2312" w:hAnsi="仿宋_GB2312" w:eastAsia="仿宋_GB2312" w:cs="仿宋_GB2312"/>
          <w:sz w:val="32"/>
          <w:szCs w:val="32"/>
        </w:rPr>
        <w:t>室</w:t>
      </w:r>
    </w:p>
    <w:p>
      <w:pPr>
        <w:keepNext w:val="0"/>
        <w:keepLines w:val="0"/>
        <w:pageBreakBefore w:val="0"/>
        <w:widowControl w:val="0"/>
        <w:snapToGrid w:val="0"/>
        <w:spacing w:before="157" w:beforeLines="50" w:line="560" w:lineRule="exact"/>
        <w:ind w:firstLine="640"/>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五、开标时间和地点</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开标时间：</w:t>
      </w:r>
      <w:r>
        <w:rPr>
          <w:rFonts w:hint="eastAsia" w:ascii="仿宋_GB2312" w:hAnsi="仿宋_GB2312" w:eastAsia="仿宋_GB2312" w:cs="仿宋_GB2312"/>
          <w:sz w:val="32"/>
          <w:szCs w:val="32"/>
          <w:lang w:val="en-US" w:eastAsia="zh-CN"/>
        </w:rPr>
        <w:t>2026年8月20日11：00</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开标地点：</w:t>
      </w:r>
      <w:r>
        <w:rPr>
          <w:rFonts w:hint="eastAsia" w:ascii="仿宋_GB2312" w:hAnsi="仿宋_GB2312" w:eastAsia="仿宋_GB2312" w:cs="仿宋_GB2312"/>
          <w:sz w:val="32"/>
          <w:szCs w:val="32"/>
          <w:lang w:eastAsia="zh-CN"/>
        </w:rPr>
        <w:t>深圳市建筑工务署教育工程管理中</w:t>
      </w:r>
      <w:r>
        <w:rPr>
          <w:rFonts w:hint="default" w:ascii="仿宋_GB2312" w:hAnsi="仿宋_GB2312" w:eastAsia="仿宋_GB2312" w:cs="仿宋_GB2312"/>
          <w:sz w:val="32"/>
          <w:szCs w:val="32"/>
          <w:lang w:val="en-US" w:eastAsia="zh-CN"/>
        </w:rPr>
        <w:t>心</w:t>
      </w:r>
      <w:r>
        <w:rPr>
          <w:rFonts w:hint="eastAsia"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5会议室。</w:t>
      </w:r>
    </w:p>
    <w:p>
      <w:pPr>
        <w:keepNext w:val="0"/>
        <w:keepLines w:val="0"/>
        <w:pageBreakBefore w:val="0"/>
        <w:widowControl w:val="0"/>
        <w:snapToGrid w:val="0"/>
        <w:spacing w:before="157" w:beforeLines="50" w:line="560" w:lineRule="exac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rPr>
        <w:t>　</w:t>
      </w:r>
      <w:r>
        <w:rPr>
          <w:rFonts w:hint="eastAsia" w:ascii="黑体" w:hAnsi="黑体" w:eastAsia="黑体" w:cs="黑体"/>
          <w:sz w:val="32"/>
          <w:szCs w:val="32"/>
          <w:lang w:eastAsia="zh-CN"/>
        </w:rPr>
        <w:t>六</w:t>
      </w:r>
      <w:r>
        <w:rPr>
          <w:rFonts w:hint="eastAsia" w:ascii="黑体" w:hAnsi="黑体" w:eastAsia="黑体" w:cs="黑体"/>
          <w:sz w:val="32"/>
          <w:szCs w:val="32"/>
        </w:rPr>
        <w:t>、投标文件</w:t>
      </w:r>
    </w:p>
    <w:p>
      <w:pPr>
        <w:keepNext w:val="0"/>
        <w:keepLines w:val="0"/>
        <w:pageBreakBefore w:val="0"/>
        <w:widowControl w:val="0"/>
        <w:snapToGrid w:val="0"/>
        <w:spacing w:before="157" w:beforeLines="50" w:line="560" w:lineRule="exact"/>
        <w:outlineLvl w:val="9"/>
        <w:rPr>
          <w:rFonts w:hint="eastAsia" w:ascii="仿宋_GB2312" w:hAnsi="仿宋_GB2312" w:eastAsia="楷体_GB2312" w:cs="仿宋_GB2312"/>
          <w:sz w:val="32"/>
          <w:szCs w:val="32"/>
          <w:lang w:eastAsia="zh-CN"/>
        </w:rPr>
      </w:pP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标书制作及其他要求</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投标文件应突出重点，精简扼要。所提供的资料必须符合诚实信用、客观真实的原则，对故意隐瞒或夸大事实之处，投标人应自行承担相应的后果及法律责任</w:t>
      </w:r>
      <w:r>
        <w:rPr>
          <w:rFonts w:hint="eastAsia" w:ascii="仿宋_GB2312" w:hAnsi="仿宋_GB2312" w:eastAsia="仿宋_GB2312" w:cs="仿宋_GB2312"/>
          <w:sz w:val="32"/>
          <w:szCs w:val="32"/>
          <w:lang w:eastAsia="zh-CN"/>
        </w:rPr>
        <w:t>；</w:t>
      </w:r>
    </w:p>
    <w:p>
      <w:pPr>
        <w:keepNext w:val="0"/>
        <w:keepLines w:val="0"/>
        <w:pageBreakBefore w:val="0"/>
        <w:widowControl w:val="0"/>
        <w:snapToGrid w:val="0"/>
        <w:spacing w:before="157" w:beforeLines="50" w:line="560" w:lineRule="exact"/>
        <w:ind w:firstLine="64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2.本次标书一式三份，采用A4双面打印，装订成册，在密封处加盖公章包装，</w:t>
      </w:r>
      <w:r>
        <w:rPr>
          <w:rFonts w:hint="eastAsia" w:ascii="仿宋_GB2312" w:hAnsi="仿宋_GB2312" w:eastAsia="仿宋_GB2312" w:cs="仿宋_GB2312"/>
          <w:b/>
          <w:bCs/>
          <w:sz w:val="32"/>
          <w:szCs w:val="32"/>
          <w:lang w:val="en-US" w:eastAsia="zh-CN"/>
        </w:rPr>
        <w:t>包装封面应注明投标人及投标联系人信息</w:t>
      </w:r>
      <w:r>
        <w:rPr>
          <w:rFonts w:hint="eastAsia" w:ascii="仿宋_GB2312" w:hAnsi="仿宋_GB2312" w:eastAsia="仿宋_GB2312" w:cs="仿宋_GB2312"/>
          <w:sz w:val="32"/>
          <w:szCs w:val="32"/>
          <w:lang w:val="en-US" w:eastAsia="zh-CN"/>
        </w:rPr>
        <w:t>；</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3.所有投标文件无论中标与否，均不予退还。</w:t>
      </w:r>
    </w:p>
    <w:p>
      <w:pPr>
        <w:keepNext w:val="0"/>
        <w:keepLines w:val="0"/>
        <w:pageBreakBefore w:val="0"/>
        <w:widowControl w:val="0"/>
        <w:snapToGrid w:val="0"/>
        <w:spacing w:before="157" w:beforeLines="50" w:line="560" w:lineRule="exact"/>
        <w:ind w:firstLine="640"/>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（二）投标文件的组成</w:t>
      </w:r>
    </w:p>
    <w:p>
      <w:pPr>
        <w:keepNext w:val="0"/>
        <w:keepLines w:val="0"/>
        <w:pageBreakBefore w:val="0"/>
        <w:widowControl w:val="0"/>
        <w:snapToGrid w:val="0"/>
        <w:spacing w:before="157" w:beforeLines="50" w:line="560" w:lineRule="exact"/>
        <w:ind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投标文件</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rPr>
        <w:t>包括但不限于以下内容：</w:t>
      </w:r>
    </w:p>
    <w:p>
      <w:pPr>
        <w:keepNext w:val="0"/>
        <w:keepLines w:val="0"/>
        <w:pageBreakBefore w:val="0"/>
        <w:widowControl w:val="0"/>
        <w:numPr>
          <w:ilvl w:val="0"/>
          <w:numId w:val="0"/>
        </w:numPr>
        <w:snapToGrid w:val="0"/>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1.供应商基本情况表</w:t>
      </w:r>
      <w:r>
        <w:rPr>
          <w:rFonts w:hint="default" w:ascii="仿宋_GB2312" w:hAnsi="仿宋_GB2312" w:eastAsia="仿宋_GB2312" w:cs="仿宋_GB2312"/>
          <w:sz w:val="32"/>
          <w:szCs w:val="32"/>
          <w:lang w:val="en-US" w:eastAsia="zh-CN"/>
        </w:rPr>
        <w:t>（详见附件1）</w:t>
      </w:r>
      <w:r>
        <w:rPr>
          <w:rFonts w:hint="eastAsia" w:ascii="仿宋_GB2312" w:hAnsi="仿宋_GB2312" w:eastAsia="仿宋_GB2312" w:cs="仿宋_GB2312"/>
          <w:sz w:val="32"/>
          <w:szCs w:val="32"/>
          <w:lang w:val="en-US" w:eastAsia="zh-CN"/>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2.投标人法定代表人（负责人）证明书、法定代表人（负责人）授权委托书及身份证复印件；</w:t>
      </w:r>
    </w:p>
    <w:p>
      <w:pPr>
        <w:keepNext w:val="0"/>
        <w:keepLines w:val="0"/>
        <w:pageBreakBefore w:val="0"/>
        <w:widowControl w:val="0"/>
        <w:snapToGrid w:val="0"/>
        <w:spacing w:line="560" w:lineRule="exact"/>
        <w:ind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3.政府采购投标及履约承诺函</w:t>
      </w:r>
      <w:r>
        <w:rPr>
          <w:rFonts w:hint="default" w:ascii="仿宋_GB2312" w:hAnsi="仿宋_GB2312" w:eastAsia="仿宋_GB2312" w:cs="仿宋_GB2312"/>
          <w:sz w:val="32"/>
          <w:szCs w:val="32"/>
          <w:lang w:val="en-US" w:eastAsia="zh-CN"/>
        </w:rPr>
        <w:t>（详见附件2）</w:t>
      </w:r>
      <w:r>
        <w:rPr>
          <w:rFonts w:hint="eastAsia" w:ascii="仿宋_GB2312" w:hAnsi="仿宋_GB2312" w:eastAsia="仿宋_GB2312" w:cs="仿宋_GB2312"/>
          <w:sz w:val="32"/>
          <w:szCs w:val="32"/>
          <w:lang w:val="en-US" w:eastAsia="zh-CN"/>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.投标报价</w:t>
      </w:r>
      <w:r>
        <w:rPr>
          <w:rFonts w:hint="eastAsia" w:ascii="仿宋_GB2312" w:hAnsi="仿宋_GB2312" w:eastAsia="仿宋_GB2312" w:cs="仿宋_GB2312"/>
          <w:sz w:val="32"/>
          <w:szCs w:val="32"/>
          <w:lang w:eastAsia="zh-CN"/>
        </w:rPr>
        <w:t>函</w:t>
      </w:r>
      <w:r>
        <w:rPr>
          <w:rFonts w:hint="default" w:ascii="仿宋_GB2312" w:hAnsi="仿宋_GB2312" w:eastAsia="仿宋_GB2312" w:cs="仿宋_GB2312"/>
          <w:sz w:val="32"/>
          <w:szCs w:val="32"/>
          <w:lang w:val="en-US" w:eastAsia="zh-CN"/>
        </w:rPr>
        <w:t>（详见附件3）</w:t>
      </w:r>
      <w:r>
        <w:rPr>
          <w:rFonts w:hint="eastAsia" w:ascii="仿宋_GB2312" w:hAnsi="仿宋_GB2312" w:eastAsia="仿宋_GB2312" w:cs="仿宋_GB2312"/>
          <w:sz w:val="32"/>
          <w:szCs w:val="32"/>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投标人获司法行政主管部门颁发的</w:t>
      </w:r>
      <w:r>
        <w:rPr>
          <w:rFonts w:hint="eastAsia" w:ascii="仿宋_GB2312" w:hAnsi="仿宋_GB2312" w:eastAsia="仿宋_GB2312" w:cs="仿宋_GB2312"/>
          <w:sz w:val="32"/>
          <w:szCs w:val="32"/>
        </w:rPr>
        <w:t>执业许可证</w:t>
      </w:r>
      <w:r>
        <w:rPr>
          <w:rFonts w:hint="eastAsia" w:ascii="仿宋_GB2312" w:hAnsi="仿宋_GB2312" w:eastAsia="仿宋_GB2312" w:cs="仿宋_GB2312"/>
          <w:sz w:val="32"/>
          <w:szCs w:val="32"/>
          <w:lang w:eastAsia="zh-CN"/>
        </w:rPr>
        <w:t>件复印件</w:t>
      </w:r>
      <w:r>
        <w:rPr>
          <w:rFonts w:hint="eastAsia" w:ascii="仿宋_GB2312" w:hAnsi="仿宋_GB2312" w:eastAsia="仿宋_GB2312" w:cs="仿宋_GB2312"/>
          <w:sz w:val="32"/>
          <w:szCs w:val="32"/>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eastAsia="zh-CN"/>
        </w:rPr>
        <w:t>为本</w:t>
      </w:r>
      <w:r>
        <w:rPr>
          <w:rFonts w:hint="eastAsia" w:ascii="仿宋_GB2312" w:hAnsi="仿宋_GB2312" w:eastAsia="仿宋_GB2312" w:cs="仿宋_GB2312"/>
          <w:sz w:val="32"/>
          <w:szCs w:val="32"/>
        </w:rPr>
        <w:t>项目服务团队人员一览表（包括项目负责人1名、</w:t>
      </w:r>
      <w:r>
        <w:rPr>
          <w:rFonts w:hint="eastAsia" w:ascii="仿宋_GB2312" w:hAnsi="仿宋_GB2312" w:eastAsia="仿宋_GB2312" w:cs="仿宋_GB2312"/>
          <w:sz w:val="32"/>
          <w:szCs w:val="32"/>
          <w:lang w:eastAsia="zh-CN"/>
        </w:rPr>
        <w:t>主办</w:t>
      </w:r>
      <w:r>
        <w:rPr>
          <w:rFonts w:hint="eastAsia" w:ascii="仿宋_GB2312" w:hAnsi="仿宋_GB2312" w:eastAsia="仿宋_GB2312" w:cs="仿宋_GB2312"/>
          <w:sz w:val="32"/>
          <w:szCs w:val="32"/>
        </w:rPr>
        <w:t>律师</w:t>
      </w:r>
      <w:r>
        <w:rPr>
          <w:rFonts w:hint="default" w:ascii="仿宋_GB2312" w:hAnsi="仿宋_GB2312" w:eastAsia="仿宋_GB2312" w:cs="仿宋_GB2312"/>
          <w:sz w:val="32"/>
          <w:szCs w:val="32"/>
          <w:lang w:val="en-US"/>
        </w:rPr>
        <w:t>2-3</w:t>
      </w:r>
      <w:r>
        <w:rPr>
          <w:rFonts w:hint="eastAsia" w:ascii="仿宋_GB2312" w:hAnsi="仿宋_GB2312" w:eastAsia="仿宋_GB2312" w:cs="仿宋_GB2312"/>
          <w:sz w:val="32"/>
          <w:szCs w:val="32"/>
        </w:rPr>
        <w:t>名、其他服务律师</w:t>
      </w:r>
      <w:r>
        <w:rPr>
          <w:rFonts w:hint="eastAsia" w:ascii="仿宋_GB2312" w:hAnsi="仿宋_GB2312" w:eastAsia="仿宋_GB2312" w:cs="仿宋_GB2312"/>
          <w:sz w:val="32"/>
          <w:szCs w:val="32"/>
          <w:lang w:eastAsia="zh-CN"/>
        </w:rPr>
        <w:t>若干名</w:t>
      </w:r>
      <w:r>
        <w:rPr>
          <w:rFonts w:hint="eastAsia" w:ascii="仿宋_GB2312" w:hAnsi="仿宋_GB2312" w:eastAsia="仿宋_GB2312" w:cs="仿宋_GB2312"/>
          <w:sz w:val="32"/>
          <w:szCs w:val="32"/>
        </w:rPr>
        <w:t>（不限数量）及现场服务人员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名</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应注明现场服务人员派往的子项目名称</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eastAsia="zh-CN"/>
        </w:rPr>
        <w:t>。同时</w:t>
      </w:r>
      <w:r>
        <w:rPr>
          <w:rFonts w:hint="eastAsia" w:ascii="仿宋_GB2312" w:hAnsi="仿宋_GB2312" w:eastAsia="仿宋_GB2312" w:cs="仿宋_GB2312"/>
          <w:sz w:val="32"/>
          <w:szCs w:val="32"/>
        </w:rPr>
        <w:t>应附具团队人员的</w:t>
      </w:r>
      <w:r>
        <w:rPr>
          <w:rFonts w:hint="eastAsia" w:ascii="仿宋_GB2312" w:hAnsi="仿宋_GB2312" w:eastAsia="仿宋_GB2312" w:cs="仿宋_GB2312"/>
          <w:b/>
          <w:bCs/>
          <w:sz w:val="32"/>
          <w:szCs w:val="32"/>
        </w:rPr>
        <w:t>法律职业资格证、律师执业证、学历</w:t>
      </w:r>
      <w:r>
        <w:rPr>
          <w:rFonts w:hint="eastAsia" w:ascii="仿宋_GB2312" w:hAnsi="仿宋_GB2312" w:eastAsia="仿宋_GB2312" w:cs="仿宋_GB2312"/>
          <w:b/>
          <w:bCs/>
          <w:sz w:val="32"/>
          <w:szCs w:val="32"/>
          <w:lang w:eastAsia="zh-CN"/>
        </w:rPr>
        <w:t>证书</w:t>
      </w:r>
      <w:r>
        <w:rPr>
          <w:rFonts w:hint="eastAsia" w:ascii="仿宋_GB2312" w:hAnsi="仿宋_GB2312" w:eastAsia="仿宋_GB2312" w:cs="仿宋_GB2312"/>
          <w:b/>
          <w:bCs/>
          <w:sz w:val="32"/>
          <w:szCs w:val="32"/>
        </w:rPr>
        <w:t>及学位证书</w:t>
      </w:r>
      <w:r>
        <w:rPr>
          <w:rFonts w:hint="eastAsia" w:ascii="仿宋_GB2312" w:hAnsi="仿宋_GB2312" w:eastAsia="仿宋_GB2312" w:cs="仿宋_GB2312"/>
          <w:sz w:val="32"/>
          <w:szCs w:val="32"/>
          <w:lang w:eastAsia="zh-CN"/>
        </w:rPr>
        <w:t>，现场服务人员未取得律师执业证可不附具</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项目负责人和现场服务人员</w:t>
      </w:r>
      <w:r>
        <w:rPr>
          <w:rFonts w:hint="eastAsia" w:ascii="仿宋_GB2312" w:hAnsi="仿宋_GB2312" w:eastAsia="仿宋_GB2312" w:cs="仿宋_GB2312"/>
          <w:b/>
          <w:bCs/>
          <w:sz w:val="32"/>
          <w:szCs w:val="32"/>
          <w:lang w:eastAsia="zh-CN"/>
        </w:rPr>
        <w:t>还</w:t>
      </w:r>
      <w:r>
        <w:rPr>
          <w:rFonts w:hint="eastAsia" w:ascii="仿宋_GB2312" w:hAnsi="仿宋_GB2312" w:eastAsia="仿宋_GB2312" w:cs="仿宋_GB2312"/>
          <w:b/>
          <w:bCs/>
          <w:sz w:val="32"/>
          <w:szCs w:val="32"/>
        </w:rPr>
        <w:t>应</w:t>
      </w:r>
      <w:r>
        <w:rPr>
          <w:rFonts w:hint="eastAsia" w:ascii="仿宋_GB2312" w:hAnsi="仿宋_GB2312" w:eastAsia="仿宋_GB2312" w:cs="仿宋_GB2312"/>
          <w:b/>
          <w:bCs/>
          <w:sz w:val="32"/>
          <w:szCs w:val="32"/>
          <w:lang w:eastAsia="zh-CN"/>
        </w:rPr>
        <w:t>提供</w:t>
      </w:r>
      <w:r>
        <w:rPr>
          <w:rFonts w:hint="eastAsia" w:ascii="仿宋_GB2312" w:hAnsi="仿宋_GB2312" w:eastAsia="仿宋_GB2312" w:cs="仿宋_GB2312"/>
          <w:b/>
          <w:bCs/>
          <w:sz w:val="32"/>
          <w:szCs w:val="32"/>
        </w:rPr>
        <w:t>个人</w:t>
      </w:r>
      <w:r>
        <w:rPr>
          <w:rFonts w:hint="default" w:ascii="仿宋_GB2312" w:hAnsi="仿宋_GB2312" w:eastAsia="仿宋_GB2312" w:cs="仿宋_GB2312"/>
          <w:b/>
          <w:bCs/>
          <w:sz w:val="32"/>
          <w:szCs w:val="32"/>
          <w:lang w:val="en-US"/>
        </w:rPr>
        <w:t>详细</w:t>
      </w:r>
      <w:r>
        <w:rPr>
          <w:rFonts w:hint="eastAsia" w:ascii="仿宋_GB2312" w:hAnsi="仿宋_GB2312" w:eastAsia="仿宋_GB2312" w:cs="仿宋_GB2312"/>
          <w:b/>
          <w:bCs/>
          <w:sz w:val="32"/>
          <w:szCs w:val="32"/>
        </w:rPr>
        <w:t>简历</w:t>
      </w:r>
      <w:r>
        <w:rPr>
          <w:rFonts w:hint="default" w:ascii="仿宋_GB2312" w:hAnsi="仿宋_GB2312" w:eastAsia="仿宋_GB2312" w:cs="仿宋_GB2312"/>
          <w:b/>
          <w:bCs/>
          <w:sz w:val="32"/>
          <w:szCs w:val="32"/>
          <w:lang w:val="en-US"/>
        </w:rPr>
        <w:t>（涵盖本科及以上教育经历、工作经历等）</w:t>
      </w:r>
      <w:r>
        <w:rPr>
          <w:rFonts w:hint="eastAsia" w:ascii="仿宋_GB2312" w:hAnsi="仿宋_GB2312" w:eastAsia="仿宋_GB2312" w:cs="仿宋_GB2312"/>
          <w:sz w:val="32"/>
          <w:szCs w:val="32"/>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7.本项目服务方案，应包含总体服务方案及子项目服务方案，服务方案重点突出如何协助招标人建立全生命周期的政府工程项目风险管理，</w:t>
      </w:r>
      <w:r>
        <w:rPr>
          <w:rFonts w:hint="default" w:ascii="仿宋_GB2312" w:hAnsi="仿宋_GB2312" w:eastAsia="仿宋_GB2312" w:cs="仿宋_GB2312"/>
          <w:sz w:val="32"/>
          <w:szCs w:val="32"/>
          <w:lang w:val="en-US" w:eastAsia="zh-CN"/>
        </w:rPr>
        <w:t>方案应具有针对性和可操作性，</w:t>
      </w:r>
      <w:r>
        <w:rPr>
          <w:rFonts w:hint="eastAsia" w:ascii="仿宋_GB2312" w:hAnsi="仿宋_GB2312" w:eastAsia="仿宋_GB2312" w:cs="仿宋_GB2312"/>
          <w:sz w:val="32"/>
          <w:szCs w:val="32"/>
          <w:lang w:val="en-US" w:eastAsia="zh-CN"/>
        </w:rPr>
        <w:t>不宜简单罗列服务内容；</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.投标人业绩情况一览表及业绩证明材料</w:t>
      </w:r>
      <w:r>
        <w:rPr>
          <w:rFonts w:hint="eastAsia" w:ascii="仿宋_GB2312" w:hAnsi="仿宋_GB2312" w:eastAsia="仿宋_GB2312" w:cs="仿宋_GB2312"/>
          <w:sz w:val="32"/>
          <w:szCs w:val="32"/>
          <w:lang w:eastAsia="zh-CN"/>
        </w:rPr>
        <w:t>（具体要求详见附件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.项目负责人业绩情况一览表及业绩证明材料</w:t>
      </w:r>
      <w:r>
        <w:rPr>
          <w:rFonts w:hint="eastAsia" w:ascii="仿宋_GB2312" w:hAnsi="仿宋_GB2312" w:eastAsia="仿宋_GB2312" w:cs="仿宋_GB2312"/>
          <w:sz w:val="32"/>
          <w:szCs w:val="32"/>
          <w:lang w:eastAsia="zh-CN"/>
        </w:rPr>
        <w:t>（具体要求详见附件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.无行政处罚、行业纪律处分证明</w:t>
      </w:r>
      <w:r>
        <w:rPr>
          <w:rFonts w:hint="eastAsia" w:ascii="仿宋_GB2312" w:hAnsi="仿宋_GB2312" w:eastAsia="仿宋_GB2312" w:cs="仿宋_GB2312"/>
          <w:sz w:val="32"/>
          <w:szCs w:val="32"/>
          <w:lang w:eastAsia="zh-CN"/>
        </w:rPr>
        <w:t>，仅需</w:t>
      </w:r>
      <w:r>
        <w:rPr>
          <w:rFonts w:hint="eastAsia" w:ascii="仿宋_GB2312" w:hAnsi="仿宋_GB2312" w:eastAsia="仿宋_GB2312" w:cs="仿宋_GB2312"/>
          <w:sz w:val="32"/>
          <w:szCs w:val="32"/>
        </w:rPr>
        <w:t>提供投标人及拟</w:t>
      </w:r>
      <w:r>
        <w:rPr>
          <w:rFonts w:hint="eastAsia" w:ascii="仿宋_GB2312" w:hAnsi="仿宋_GB2312" w:eastAsia="仿宋_GB2312" w:cs="仿宋_GB2312"/>
          <w:sz w:val="32"/>
          <w:szCs w:val="32"/>
          <w:lang w:eastAsia="zh-CN"/>
        </w:rPr>
        <w:t>投入本项目</w:t>
      </w:r>
      <w:r>
        <w:rPr>
          <w:rFonts w:hint="eastAsia" w:ascii="仿宋_GB2312" w:hAnsi="仿宋_GB2312" w:eastAsia="仿宋_GB2312" w:cs="仿宋_GB2312"/>
          <w:sz w:val="32"/>
          <w:szCs w:val="32"/>
        </w:rPr>
        <w:t>服务的团队成员在最近三年内未受过行政处罚和行业纪律处分的证明材料</w:t>
      </w:r>
      <w:r>
        <w:rPr>
          <w:rFonts w:hint="eastAsia" w:ascii="仿宋_GB2312" w:hAnsi="仿宋_GB2312" w:eastAsia="仿宋_GB2312" w:cs="仿宋_GB2312"/>
          <w:sz w:val="32"/>
          <w:szCs w:val="32"/>
          <w:lang w:eastAsia="zh-CN"/>
        </w:rPr>
        <w:t>；</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提供固定经营场所租赁或购买合同（复印件加盖公章）；</w:t>
      </w:r>
    </w:p>
    <w:p>
      <w:pPr>
        <w:keepNext w:val="0"/>
        <w:keepLines w:val="0"/>
        <w:pageBreakBefore w:val="0"/>
        <w:widowControl w:val="0"/>
        <w:snapToGrid w:val="0"/>
        <w:spacing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.其他投标人认为可以</w:t>
      </w:r>
      <w:r>
        <w:rPr>
          <w:rFonts w:hint="default" w:ascii="仿宋_GB2312" w:hAnsi="仿宋_GB2312" w:eastAsia="仿宋_GB2312" w:cs="仿宋_GB2312"/>
          <w:sz w:val="32"/>
          <w:szCs w:val="32"/>
          <w:lang w:val="en-US"/>
        </w:rPr>
        <w:t>综合</w:t>
      </w:r>
      <w:r>
        <w:rPr>
          <w:rFonts w:hint="eastAsia" w:ascii="仿宋_GB2312" w:hAnsi="仿宋_GB2312" w:eastAsia="仿宋_GB2312" w:cs="仿宋_GB2312"/>
          <w:sz w:val="32"/>
          <w:szCs w:val="32"/>
        </w:rPr>
        <w:t>展示其承接本项目的优势</w:t>
      </w:r>
      <w:r>
        <w:rPr>
          <w:rFonts w:hint="default" w:ascii="仿宋_GB2312" w:hAnsi="仿宋_GB2312" w:eastAsia="仿宋_GB2312" w:cs="仿宋_GB2312"/>
          <w:sz w:val="32"/>
          <w:szCs w:val="32"/>
          <w:lang w:val="en-US"/>
        </w:rPr>
        <w:t>资</w:t>
      </w:r>
      <w:r>
        <w:rPr>
          <w:rFonts w:hint="eastAsia" w:ascii="仿宋_GB2312" w:hAnsi="仿宋_GB2312" w:eastAsia="仿宋_GB2312" w:cs="仿宋_GB2312"/>
          <w:sz w:val="32"/>
          <w:szCs w:val="32"/>
        </w:rPr>
        <w:t>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w:t>
      </w:r>
    </w:p>
    <w:p>
      <w:pPr>
        <w:keepNext w:val="0"/>
        <w:keepLines w:val="0"/>
        <w:pageBreakBefore w:val="0"/>
        <w:widowControl w:val="0"/>
        <w:snapToGrid w:val="0"/>
        <w:spacing w:before="157" w:beforeLines="50" w:line="560" w:lineRule="exact"/>
        <w:outlineLvl w:val="9"/>
        <w:rPr>
          <w:rFonts w:hint="eastAsia" w:ascii="黑体" w:hAnsi="黑体" w:eastAsia="黑体" w:cs="黑体"/>
          <w:sz w:val="32"/>
          <w:szCs w:val="32"/>
        </w:rPr>
      </w:pPr>
      <w:r>
        <w:rPr>
          <w:rFonts w:hint="eastAsia" w:ascii="黑体" w:hAnsi="黑体" w:eastAsia="黑体" w:cs="黑体"/>
          <w:sz w:val="32"/>
          <w:szCs w:val="32"/>
        </w:rPr>
        <w:t>　　</w:t>
      </w:r>
      <w:r>
        <w:rPr>
          <w:rFonts w:hint="eastAsia" w:ascii="黑体" w:hAnsi="黑体" w:eastAsia="黑体" w:cs="黑体"/>
          <w:sz w:val="32"/>
          <w:szCs w:val="32"/>
          <w:lang w:eastAsia="zh-CN"/>
        </w:rPr>
        <w:t>七</w:t>
      </w:r>
      <w:r>
        <w:rPr>
          <w:rFonts w:hint="eastAsia" w:ascii="黑体" w:hAnsi="黑体" w:eastAsia="黑体" w:cs="黑体"/>
          <w:sz w:val="32"/>
          <w:szCs w:val="32"/>
        </w:rPr>
        <w:t>、投标报价</w:t>
      </w:r>
    </w:p>
    <w:p>
      <w:pPr>
        <w:keepNext w:val="0"/>
        <w:keepLines w:val="0"/>
        <w:pageBreakBefore w:val="0"/>
        <w:widowControl w:val="0"/>
        <w:snapToGrid w:val="0"/>
        <w:spacing w:before="157" w:beforeLines="50" w:line="560" w:lineRule="exact"/>
        <w:ind w:firstLine="640" w:firstLineChars="20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投标人应为</w:t>
      </w:r>
      <w:r>
        <w:rPr>
          <w:rFonts w:hint="eastAsia" w:ascii="仿宋_GB2312" w:hAnsi="仿宋_GB2312" w:eastAsia="仿宋_GB2312" w:cs="仿宋_GB2312"/>
          <w:b/>
          <w:bCs/>
          <w:sz w:val="32"/>
          <w:szCs w:val="32"/>
          <w:lang w:eastAsia="zh-CN"/>
        </w:rPr>
        <w:t>本</w:t>
      </w:r>
      <w:r>
        <w:rPr>
          <w:rFonts w:hint="eastAsia" w:ascii="仿宋_GB2312" w:hAnsi="仿宋_GB2312" w:eastAsia="仿宋_GB2312" w:cs="仿宋_GB2312"/>
          <w:b/>
          <w:bCs/>
          <w:sz w:val="32"/>
          <w:szCs w:val="32"/>
        </w:rPr>
        <w:t>项目</w:t>
      </w:r>
      <w:r>
        <w:rPr>
          <w:rFonts w:hint="eastAsia" w:ascii="仿宋_GB2312" w:hAnsi="仿宋_GB2312" w:eastAsia="仿宋_GB2312" w:cs="仿宋_GB2312"/>
          <w:b/>
          <w:bCs/>
          <w:sz w:val="32"/>
          <w:szCs w:val="32"/>
          <w:lang w:eastAsia="zh-CN"/>
        </w:rPr>
        <w:t>提供一个有效投标报价并列明各子项目报价，子项目报价均不得超过</w:t>
      </w:r>
      <w:r>
        <w:rPr>
          <w:rFonts w:hint="default" w:ascii="仿宋_GB2312" w:hAnsi="仿宋_GB2312" w:eastAsia="仿宋_GB2312" w:cs="仿宋_GB2312"/>
          <w:b/>
          <w:bCs/>
          <w:sz w:val="32"/>
          <w:szCs w:val="32"/>
          <w:lang w:val="en-US" w:eastAsia="zh-CN"/>
        </w:rPr>
        <w:t>最高投标限价</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超过</w:t>
      </w:r>
      <w:r>
        <w:rPr>
          <w:rFonts w:hint="default" w:ascii="仿宋_GB2312" w:hAnsi="仿宋_GB2312" w:eastAsia="仿宋_GB2312" w:cs="仿宋_GB2312"/>
          <w:sz w:val="32"/>
          <w:szCs w:val="32"/>
          <w:lang w:val="en-US" w:eastAsia="zh-CN"/>
        </w:rPr>
        <w:t>最高投标限价</w:t>
      </w:r>
      <w:r>
        <w:rPr>
          <w:rFonts w:hint="eastAsia" w:ascii="仿宋_GB2312" w:hAnsi="仿宋_GB2312" w:eastAsia="仿宋_GB2312" w:cs="仿宋_GB2312"/>
          <w:sz w:val="32"/>
          <w:szCs w:val="32"/>
          <w:lang w:eastAsia="zh-CN"/>
        </w:rPr>
        <w:t>的投标报价将被作无效投标处理，投标报价函样式可参考附件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w:t>
      </w:r>
    </w:p>
    <w:p>
      <w:pPr>
        <w:keepNext w:val="0"/>
        <w:keepLines w:val="0"/>
        <w:pageBreakBefore w:val="0"/>
        <w:widowControl w:val="0"/>
        <w:snapToGrid w:val="0"/>
        <w:spacing w:before="157" w:beforeLines="50" w:line="560" w:lineRule="exact"/>
        <w:outlineLvl w:val="9"/>
        <w:rPr>
          <w:rFonts w:hint="eastAsia" w:ascii="仿宋_GB2312" w:hAnsi="仿宋_GB2312" w:eastAsia="黑体" w:cs="仿宋_GB2312"/>
          <w:sz w:val="32"/>
          <w:szCs w:val="32"/>
          <w:lang w:eastAsia="zh-CN"/>
        </w:rPr>
      </w:pPr>
      <w:r>
        <w:rPr>
          <w:rFonts w:hint="eastAsia" w:ascii="黑体" w:hAnsi="黑体" w:eastAsia="黑体" w:cs="黑体"/>
          <w:sz w:val="32"/>
          <w:szCs w:val="32"/>
        </w:rPr>
        <w:t>　　</w:t>
      </w:r>
      <w:r>
        <w:rPr>
          <w:rFonts w:hint="eastAsia" w:ascii="黑体" w:hAnsi="黑体" w:eastAsia="黑体" w:cs="黑体"/>
          <w:sz w:val="32"/>
          <w:szCs w:val="32"/>
          <w:lang w:eastAsia="zh-CN"/>
        </w:rPr>
        <w:t>八</w:t>
      </w:r>
      <w:r>
        <w:rPr>
          <w:rFonts w:hint="eastAsia" w:ascii="黑体" w:hAnsi="黑体" w:eastAsia="黑体" w:cs="黑体"/>
          <w:sz w:val="32"/>
          <w:szCs w:val="32"/>
        </w:rPr>
        <w:t>、</w:t>
      </w:r>
      <w:r>
        <w:rPr>
          <w:rFonts w:hint="eastAsia" w:ascii="黑体" w:hAnsi="黑体" w:eastAsia="黑体" w:cs="黑体"/>
          <w:sz w:val="32"/>
          <w:szCs w:val="32"/>
          <w:lang w:eastAsia="zh-CN"/>
        </w:rPr>
        <w:t>招投标事项咨询</w:t>
      </w:r>
      <w:bookmarkStart w:id="17" w:name="_GoBack"/>
      <w:bookmarkEnd w:id="17"/>
    </w:p>
    <w:p>
      <w:pPr>
        <w:keepNext w:val="0"/>
        <w:keepLines w:val="0"/>
        <w:pageBreakBefore w:val="0"/>
        <w:widowControl w:val="0"/>
        <w:snapToGrid w:val="0"/>
        <w:spacing w:before="157" w:beforeLines="50" w:line="560" w:lineRule="exact"/>
        <w:ind w:firstLine="64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关于招标事项咨询，可在工作日工作时段内分别联系深圳市建筑工务署</w:t>
      </w:r>
      <w:r>
        <w:rPr>
          <w:rFonts w:hint="eastAsia" w:ascii="仿宋_GB2312" w:hAnsi="仿宋_GB2312" w:eastAsia="仿宋_GB2312" w:cs="仿宋_GB2312"/>
          <w:sz w:val="32"/>
          <w:szCs w:val="32"/>
          <w:lang w:val="en-US" w:eastAsia="zh-CN"/>
        </w:rPr>
        <w:t>钟先生，电话0755-88124385，</w:t>
      </w:r>
      <w:r>
        <w:rPr>
          <w:rFonts w:hint="eastAsia" w:ascii="仿宋_GB2312" w:hAnsi="仿宋_GB2312" w:eastAsia="仿宋_GB2312" w:cs="仿宋_GB2312"/>
          <w:sz w:val="32"/>
          <w:szCs w:val="32"/>
          <w:lang w:eastAsia="zh-CN"/>
        </w:rPr>
        <w:t>深圳市建筑工务署教育工程管理中心刘女士，电话：</w:t>
      </w:r>
      <w:r>
        <w:rPr>
          <w:rFonts w:hint="eastAsia" w:ascii="仿宋_GB2312" w:hAnsi="仿宋_GB2312" w:eastAsia="仿宋_GB2312" w:cs="仿宋_GB2312"/>
          <w:sz w:val="32"/>
          <w:szCs w:val="32"/>
          <w:lang w:val="en-US" w:eastAsia="zh-CN"/>
        </w:rPr>
        <w:t>0755-83942855。</w:t>
      </w:r>
    </w:p>
    <w:p>
      <w:pPr>
        <w:keepNext w:val="0"/>
        <w:keepLines w:val="0"/>
        <w:pageBreakBefore w:val="0"/>
        <w:widowControl w:val="0"/>
        <w:snapToGrid w:val="0"/>
        <w:spacing w:before="157" w:beforeLines="50" w:line="560" w:lineRule="exact"/>
        <w:ind w:firstLine="665"/>
        <w:outlineLvl w:val="9"/>
        <w:rPr>
          <w:rFonts w:hint="eastAsia" w:ascii="仿宋_GB2312" w:hAnsi="仿宋_GB2312" w:eastAsia="仿宋_GB2312" w:cs="仿宋_GB2312"/>
          <w:sz w:val="32"/>
          <w:szCs w:val="32"/>
          <w:lang w:eastAsia="zh-CN"/>
        </w:rPr>
      </w:pPr>
    </w:p>
    <w:p>
      <w:pPr>
        <w:keepNext w:val="0"/>
        <w:keepLines w:val="0"/>
        <w:pageBreakBefore w:val="0"/>
        <w:widowControl w:val="0"/>
        <w:snapToGrid w:val="0"/>
        <w:spacing w:before="157" w:beforeLines="50" w:line="560" w:lineRule="exact"/>
        <w:ind w:firstLine="665"/>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1.供应商基本情况表</w:t>
      </w:r>
    </w:p>
    <w:p>
      <w:pPr>
        <w:keepNext w:val="0"/>
        <w:keepLines w:val="0"/>
        <w:pageBreakBefore w:val="0"/>
        <w:widowControl w:val="0"/>
        <w:snapToGrid w:val="0"/>
        <w:spacing w:before="157" w:beforeLines="50" w:line="560" w:lineRule="exact"/>
        <w:ind w:firstLine="1651" w:firstLineChars="516"/>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2.政府采购投标及履约承诺函</w:t>
      </w:r>
    </w:p>
    <w:p>
      <w:pPr>
        <w:keepNext w:val="0"/>
        <w:keepLines w:val="0"/>
        <w:pageBreakBefore w:val="0"/>
        <w:widowControl w:val="0"/>
        <w:snapToGrid w:val="0"/>
        <w:spacing w:before="157" w:beforeLines="50" w:line="560" w:lineRule="exact"/>
        <w:ind w:firstLine="1651" w:firstLineChars="516"/>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3.投标报价函</w:t>
      </w:r>
    </w:p>
    <w:p>
      <w:pPr>
        <w:keepNext w:val="0"/>
        <w:keepLines w:val="0"/>
        <w:pageBreakBefore w:val="0"/>
        <w:widowControl w:val="0"/>
        <w:snapToGrid w:val="0"/>
        <w:spacing w:before="157" w:beforeLines="50" w:line="560" w:lineRule="exact"/>
        <w:ind w:firstLine="1651" w:firstLineChars="516"/>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4.本项目现场服务人员要求</w:t>
      </w:r>
    </w:p>
    <w:p>
      <w:pPr>
        <w:keepNext w:val="0"/>
        <w:keepLines w:val="0"/>
        <w:pageBreakBefore w:val="0"/>
        <w:widowControl w:val="0"/>
        <w:numPr>
          <w:ilvl w:val="0"/>
          <w:numId w:val="0"/>
        </w:numPr>
        <w:snapToGrid w:val="0"/>
        <w:spacing w:before="157" w:beforeLines="50" w:line="560" w:lineRule="exact"/>
        <w:ind w:left="1625" w:leftChars="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5.深圳市建筑工务署、深圳市建筑工务署教育工程管理中心202</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年度常年法律顾问项目综合评分表</w:t>
      </w:r>
    </w:p>
    <w:p>
      <w:pPr>
        <w:keepNext w:val="0"/>
        <w:keepLines w:val="0"/>
        <w:pageBreakBefore w:val="0"/>
        <w:widowControl w:val="0"/>
        <w:numPr>
          <w:ilvl w:val="0"/>
          <w:numId w:val="0"/>
        </w:numPr>
        <w:snapToGrid w:val="0"/>
        <w:spacing w:before="157" w:beforeLines="50" w:line="560" w:lineRule="exact"/>
        <w:ind w:left="1625" w:leftChars="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6.深圳市建筑工务署202</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年度常年法律顾</w:t>
      </w:r>
    </w:p>
    <w:p>
      <w:pPr>
        <w:keepNext w:val="0"/>
        <w:keepLines w:val="0"/>
        <w:pageBreakBefore w:val="0"/>
        <w:widowControl w:val="0"/>
        <w:numPr>
          <w:ilvl w:val="0"/>
          <w:numId w:val="0"/>
        </w:numPr>
        <w:snapToGrid w:val="0"/>
        <w:spacing w:before="157" w:beforeLines="50" w:line="560" w:lineRule="exact"/>
        <w:ind w:left="1625" w:leftChars="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问项目合同主要条款</w:t>
      </w:r>
    </w:p>
    <w:p>
      <w:pPr>
        <w:keepNext w:val="0"/>
        <w:keepLines w:val="0"/>
        <w:pageBreakBefore w:val="0"/>
        <w:widowControl w:val="0"/>
        <w:numPr>
          <w:ilvl w:val="0"/>
          <w:numId w:val="0"/>
        </w:numPr>
        <w:snapToGrid w:val="0"/>
        <w:spacing w:before="157" w:beforeLines="50" w:line="560" w:lineRule="exact"/>
        <w:ind w:left="1625" w:leftChars="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7.深圳市建筑工务署教育工程管理中心202</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en-US" w:eastAsia="zh-CN"/>
        </w:rPr>
        <w:t>-202</w:t>
      </w:r>
      <w:r>
        <w:rPr>
          <w:rFonts w:hint="default"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t>年度常年法律顾问项目合同主要条款</w:t>
      </w: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深圳市建筑工务署</w:t>
      </w:r>
    </w:p>
    <w:p>
      <w:pPr>
        <w:keepNext w:val="0"/>
        <w:keepLines w:val="0"/>
        <w:pageBreakBefore w:val="0"/>
        <w:widowControl w:val="0"/>
        <w:snapToGrid w:val="0"/>
        <w:spacing w:before="157" w:beforeLines="50" w:line="560" w:lineRule="exact"/>
        <w:jc w:val="right"/>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深圳市建筑工务署教育工程管理中心</w:t>
      </w: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widowControl w:val="0"/>
        <w:snapToGrid w:val="0"/>
        <w:spacing w:before="0" w:after="0" w:line="240" w:lineRule="auto"/>
        <w:ind w:left="0" w:leftChars="0" w:firstLine="0" w:firstLineChars="0"/>
        <w:jc w:val="left"/>
        <w:outlineLvl w:val="0"/>
        <w:rPr>
          <w:rFonts w:hint="eastAsia" w:ascii="仿宋_GB2312" w:hAnsi="仿宋_GB2312" w:eastAsia="仿宋_GB2312" w:cs="仿宋_GB2312"/>
          <w:b w:val="0"/>
          <w:bCs w:val="0"/>
          <w:kern w:val="2"/>
          <w:sz w:val="32"/>
          <w:szCs w:val="32"/>
          <w:lang w:val="en-US" w:eastAsia="zh-CN" w:bidi="ar-SA"/>
        </w:rPr>
      </w:pPr>
    </w:p>
    <w:p>
      <w:pPr>
        <w:widowControl w:val="0"/>
        <w:snapToGrid w:val="0"/>
        <w:spacing w:before="0" w:after="0" w:line="240" w:lineRule="auto"/>
        <w:ind w:left="0" w:leftChars="0" w:firstLine="0" w:firstLineChars="0"/>
        <w:jc w:val="left"/>
        <w:outlineLvl w:val="0"/>
        <w:rPr>
          <w:rFonts w:hint="eastAsia" w:ascii="仿宋_GB2312" w:hAnsi="仿宋_GB2312" w:eastAsia="仿宋_GB2312" w:cs="仿宋_GB2312"/>
          <w:b w:val="0"/>
          <w:bCs w:val="0"/>
          <w:kern w:val="2"/>
          <w:sz w:val="32"/>
          <w:szCs w:val="32"/>
          <w:lang w:val="en-US" w:eastAsia="zh-CN" w:bidi="ar-SA"/>
        </w:rPr>
      </w:pPr>
    </w:p>
    <w:p>
      <w:pPr>
        <w:widowControl w:val="0"/>
        <w:snapToGrid w:val="0"/>
        <w:spacing w:before="0" w:after="0" w:line="240" w:lineRule="auto"/>
        <w:ind w:left="0" w:leftChars="0" w:firstLine="0" w:firstLineChars="0"/>
        <w:jc w:val="left"/>
        <w:outlineLvl w:val="0"/>
        <w:rPr>
          <w:rFonts w:hint="eastAsia" w:ascii="仿宋_GB2312" w:hAnsi="仿宋_GB2312" w:eastAsia="仿宋_GB2312" w:cs="仿宋_GB2312"/>
          <w:b w:val="0"/>
          <w:bCs w:val="0"/>
          <w:kern w:val="2"/>
          <w:sz w:val="32"/>
          <w:szCs w:val="32"/>
          <w:lang w:val="en-US" w:eastAsia="zh-CN" w:bidi="ar-SA"/>
        </w:rPr>
      </w:pPr>
    </w:p>
    <w:p>
      <w:pPr>
        <w:widowControl w:val="0"/>
        <w:snapToGrid w:val="0"/>
        <w:spacing w:before="0" w:after="0" w:line="240" w:lineRule="auto"/>
        <w:ind w:left="0" w:leftChars="0" w:firstLine="0" w:firstLineChars="0"/>
        <w:jc w:val="left"/>
        <w:outlineLvl w:val="0"/>
        <w:rPr>
          <w:rFonts w:hint="eastAsia" w:ascii="仿宋_GB2312" w:hAnsi="仿宋_GB2312" w:eastAsia="仿宋_GB2312" w:cs="仿宋_GB2312"/>
          <w:b w:val="0"/>
          <w:bCs w:val="0"/>
          <w:kern w:val="2"/>
          <w:sz w:val="32"/>
          <w:szCs w:val="32"/>
          <w:lang w:val="en-US" w:eastAsia="zh-CN" w:bidi="ar-SA"/>
        </w:rPr>
      </w:pPr>
    </w:p>
    <w:p>
      <w:pPr>
        <w:widowControl w:val="0"/>
        <w:snapToGrid w:val="0"/>
        <w:spacing w:before="0" w:after="0" w:line="240" w:lineRule="auto"/>
        <w:ind w:left="0" w:leftChars="0" w:firstLine="0" w:firstLineChars="0"/>
        <w:jc w:val="left"/>
        <w:outlineLvl w:val="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附件</w:t>
      </w:r>
      <w:r>
        <w:rPr>
          <w:rFonts w:hint="eastAsia" w:ascii="仿宋_GB2312" w:hAnsi="仿宋_GB2312" w:cs="仿宋_GB2312"/>
          <w:b w:val="0"/>
          <w:bCs w:val="0"/>
          <w:kern w:val="2"/>
          <w:sz w:val="32"/>
          <w:szCs w:val="32"/>
          <w:lang w:val="en-US" w:eastAsia="zh-CN" w:bidi="ar-SA"/>
        </w:rPr>
        <w:t>1</w:t>
      </w:r>
    </w:p>
    <w:p>
      <w:pPr>
        <w:widowControl w:val="0"/>
        <w:snapToGrid w:val="0"/>
        <w:spacing w:before="0" w:after="0" w:line="240" w:lineRule="auto"/>
        <w:ind w:left="0" w:leftChars="0" w:firstLine="0" w:firstLineChars="0"/>
        <w:jc w:val="center"/>
        <w:outlineLvl w:val="0"/>
        <w:rPr>
          <w:rFonts w:hint="eastAsia" w:ascii="方正小标宋简体" w:hAnsi="方正小标宋简体" w:eastAsia="方正小标宋简体" w:cs="方正小标宋简体"/>
          <w:b w:val="0"/>
          <w:bCs w:val="0"/>
          <w:kern w:val="2"/>
          <w:sz w:val="44"/>
          <w:szCs w:val="44"/>
          <w:lang w:val="en-US" w:eastAsia="zh-CN" w:bidi="ar-SA"/>
        </w:rPr>
      </w:pPr>
      <w:r>
        <w:rPr>
          <w:rFonts w:hint="eastAsia" w:ascii="方正小标宋简体" w:hAnsi="方正小标宋简体" w:eastAsia="方正小标宋简体" w:cs="方正小标宋简体"/>
          <w:b w:val="0"/>
          <w:bCs w:val="0"/>
          <w:kern w:val="2"/>
          <w:sz w:val="44"/>
          <w:szCs w:val="44"/>
          <w:lang w:val="en-US" w:eastAsia="zh-CN" w:bidi="ar-SA"/>
        </w:rPr>
        <w:t>供应商基本情况表</w:t>
      </w:r>
    </w:p>
    <w:p>
      <w:pPr>
        <w:spacing w:line="240" w:lineRule="auto"/>
        <w:ind w:firstLine="0" w:firstLineChars="0"/>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填表单位：（加盖单位公章）</w:t>
      </w:r>
      <w:r>
        <w:rPr>
          <w:rFonts w:hint="eastAsia" w:ascii="方正仿宋_GBK" w:hAnsi="方正仿宋_GBK" w:eastAsia="方正仿宋_GBK" w:cs="方正仿宋_GBK"/>
          <w:sz w:val="24"/>
          <w:szCs w:val="24"/>
          <w:lang w:val="en-US" w:eastAsia="zh-CN"/>
        </w:rPr>
        <w:tab/>
      </w:r>
      <w:r>
        <w:rPr>
          <w:rFonts w:hint="eastAsia" w:ascii="方正仿宋_GBK" w:hAnsi="方正仿宋_GBK" w:eastAsia="方正仿宋_GBK" w:cs="方正仿宋_GBK"/>
          <w:sz w:val="24"/>
          <w:szCs w:val="24"/>
          <w:lang w:val="en-US" w:eastAsia="zh-CN"/>
        </w:rPr>
        <w:tab/>
      </w:r>
      <w:r>
        <w:rPr>
          <w:rFonts w:hint="eastAsia" w:ascii="方正仿宋_GBK" w:hAnsi="方正仿宋_GBK" w:eastAsia="方正仿宋_GBK" w:cs="方正仿宋_GBK"/>
          <w:sz w:val="24"/>
          <w:szCs w:val="24"/>
          <w:lang w:val="en-US" w:eastAsia="zh-CN"/>
        </w:rPr>
        <w:t xml:space="preserve">            填表日期：    年   月   日</w:t>
      </w:r>
    </w:p>
    <w:tbl>
      <w:tblPr>
        <w:tblStyle w:val="29"/>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672"/>
        <w:gridCol w:w="1594"/>
        <w:gridCol w:w="941"/>
        <w:gridCol w:w="785"/>
        <w:gridCol w:w="1192"/>
        <w:gridCol w:w="1489"/>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02"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采购人</w:t>
            </w:r>
          </w:p>
        </w:tc>
        <w:tc>
          <w:tcPr>
            <w:tcW w:w="2535"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项目名称</w:t>
            </w:r>
          </w:p>
        </w:tc>
        <w:tc>
          <w:tcPr>
            <w:tcW w:w="2964"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402" w:type="dxa"/>
            <w:gridSpan w:val="2"/>
            <w:noWrap w:val="0"/>
            <w:vAlign w:val="center"/>
          </w:tcPr>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投标（响应）供应商</w:t>
            </w:r>
          </w:p>
        </w:tc>
        <w:tc>
          <w:tcPr>
            <w:tcW w:w="2535"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noWrap w:val="0"/>
            <w:vAlign w:val="center"/>
          </w:tcPr>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供应商统一社会信用代码</w:t>
            </w:r>
          </w:p>
        </w:tc>
        <w:tc>
          <w:tcPr>
            <w:tcW w:w="2964"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78" w:type="dxa"/>
            <w:gridSpan w:val="8"/>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b/>
                <w:bCs/>
                <w:sz w:val="24"/>
                <w:szCs w:val="24"/>
                <w:vertAlign w:val="baseline"/>
                <w:lang w:val="en-US" w:eastAsia="zh-CN"/>
              </w:rPr>
              <w:t>投标（响应）供应商相关人员情况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30" w:type="dxa"/>
            <w:tcBorders>
              <w:bottom w:val="single" w:color="auto" w:sz="4" w:space="0"/>
            </w:tcBorders>
            <w:noWrap w:val="0"/>
            <w:vAlign w:val="center"/>
          </w:tcPr>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序号</w:t>
            </w:r>
          </w:p>
        </w:tc>
        <w:tc>
          <w:tcPr>
            <w:tcW w:w="2266" w:type="dxa"/>
            <w:gridSpan w:val="2"/>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职务</w:t>
            </w:r>
          </w:p>
        </w:tc>
        <w:tc>
          <w:tcPr>
            <w:tcW w:w="941" w:type="dxa"/>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姓名</w:t>
            </w:r>
          </w:p>
        </w:tc>
        <w:tc>
          <w:tcPr>
            <w:tcW w:w="1977" w:type="dxa"/>
            <w:gridSpan w:val="2"/>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身份证号码</w:t>
            </w:r>
          </w:p>
        </w:tc>
        <w:tc>
          <w:tcPr>
            <w:tcW w:w="1489" w:type="dxa"/>
            <w:tcBorders>
              <w:bottom w:val="single" w:color="auto" w:sz="4" w:space="0"/>
            </w:tcBorders>
            <w:noWrap w:val="0"/>
            <w:vAlign w:val="center"/>
          </w:tcPr>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劳动合同</w:t>
            </w:r>
          </w:p>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关系单位</w:t>
            </w:r>
          </w:p>
        </w:tc>
        <w:tc>
          <w:tcPr>
            <w:tcW w:w="1475" w:type="dxa"/>
            <w:tcBorders>
              <w:bottom w:val="single" w:color="auto" w:sz="4" w:space="0"/>
            </w:tcBorders>
            <w:noWrap w:val="0"/>
            <w:vAlign w:val="center"/>
          </w:tcPr>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缴纳社会</w:t>
            </w:r>
          </w:p>
          <w:p>
            <w:pPr>
              <w:snapToGrid w:val="0"/>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1</w:t>
            </w:r>
          </w:p>
        </w:tc>
        <w:tc>
          <w:tcPr>
            <w:tcW w:w="2266" w:type="dxa"/>
            <w:gridSpan w:val="2"/>
            <w:tcBorders>
              <w:top w:val="single" w:color="auto" w:sz="4" w:space="0"/>
              <w:left w:val="single" w:color="auto" w:sz="4" w:space="0"/>
              <w:bottom w:val="single" w:color="auto" w:sz="4" w:space="0"/>
              <w:right w:val="single" w:color="auto" w:sz="4" w:space="0"/>
            </w:tcBorders>
            <w:noWrap w:val="0"/>
            <w:vAlign w:val="center"/>
          </w:tcPr>
          <w:p>
            <w:pPr>
              <w:spacing w:line="460" w:lineRule="exact"/>
              <w:ind w:firstLine="0" w:firstLineChars="0"/>
              <w:jc w:val="center"/>
              <w:rPr>
                <w:rFonts w:hint="eastAsia" w:ascii="方正仿宋_GBK" w:hAnsi="方正仿宋_GBK" w:eastAsia="方正仿宋_GBK" w:cs="方正仿宋_GBK"/>
                <w:color w:val="auto"/>
                <w:sz w:val="22"/>
                <w:szCs w:val="22"/>
                <w:highlight w:val="none"/>
                <w:lang w:eastAsia="zh-CN"/>
              </w:rPr>
            </w:pPr>
            <w:r>
              <w:rPr>
                <w:rFonts w:hint="eastAsia" w:ascii="方正仿宋_GBK" w:hAnsi="方正仿宋_GBK" w:eastAsia="方正仿宋_GBK" w:cs="方正仿宋_GBK"/>
                <w:color w:val="auto"/>
                <w:sz w:val="22"/>
                <w:szCs w:val="22"/>
                <w:highlight w:val="none"/>
              </w:rPr>
              <w:t>法定代表人</w:t>
            </w:r>
            <w:r>
              <w:rPr>
                <w:rFonts w:hint="eastAsia" w:ascii="方正仿宋_GBK" w:hAnsi="方正仿宋_GBK" w:eastAsia="方正仿宋_GBK" w:cs="方正仿宋_GBK"/>
                <w:color w:val="auto"/>
                <w:sz w:val="22"/>
                <w:szCs w:val="22"/>
                <w:highlight w:val="none"/>
                <w:lang w:val="en-US" w:eastAsia="zh-CN"/>
              </w:rPr>
              <w:t>/单位负责人/主要经营负责人</w:t>
            </w:r>
          </w:p>
        </w:tc>
        <w:tc>
          <w:tcPr>
            <w:tcW w:w="941"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0"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rPr>
              <w:t>2</w:t>
            </w:r>
          </w:p>
        </w:tc>
        <w:tc>
          <w:tcPr>
            <w:tcW w:w="22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2"/>
                <w:szCs w:val="22"/>
                <w:vertAlign w:val="baseline"/>
                <w:lang w:val="en-US" w:eastAsia="zh-CN"/>
              </w:rPr>
            </w:pPr>
            <w:r>
              <w:rPr>
                <w:rFonts w:hint="eastAsia" w:ascii="方正仿宋_GBK" w:hAnsi="方正仿宋_GBK" w:eastAsia="方正仿宋_GBK" w:cs="方正仿宋_GBK"/>
                <w:color w:val="auto"/>
                <w:sz w:val="22"/>
                <w:szCs w:val="22"/>
                <w:highlight w:val="none"/>
              </w:rPr>
              <w:t>项目投标授权代表人</w:t>
            </w:r>
          </w:p>
        </w:tc>
        <w:tc>
          <w:tcPr>
            <w:tcW w:w="941"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89"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75"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0" w:type="dxa"/>
            <w:tcBorders>
              <w:top w:val="single" w:color="auto" w:sz="4" w:space="0"/>
            </w:tcBorders>
            <w:noWrap w:val="0"/>
            <w:vAlign w:val="center"/>
          </w:tcPr>
          <w:p>
            <w:pPr>
              <w:spacing w:beforeLines="0" w:afterLines="0"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3</w:t>
            </w:r>
          </w:p>
        </w:tc>
        <w:tc>
          <w:tcPr>
            <w:tcW w:w="2266" w:type="dxa"/>
            <w:gridSpan w:val="2"/>
            <w:tcBorders>
              <w:top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2"/>
                <w:szCs w:val="22"/>
                <w:vertAlign w:val="baseline"/>
                <w:lang w:val="en-US" w:eastAsia="zh-CN"/>
              </w:rPr>
            </w:pPr>
            <w:r>
              <w:rPr>
                <w:rFonts w:hint="eastAsia" w:ascii="方正仿宋_GBK" w:hAnsi="方正仿宋_GBK" w:eastAsia="方正仿宋_GBK" w:cs="方正仿宋_GBK"/>
                <w:color w:val="auto"/>
                <w:sz w:val="22"/>
                <w:szCs w:val="22"/>
                <w:highlight w:val="none"/>
              </w:rPr>
              <w:t>项目负责人</w:t>
            </w:r>
          </w:p>
        </w:tc>
        <w:tc>
          <w:tcPr>
            <w:tcW w:w="941" w:type="dxa"/>
            <w:tcBorders>
              <w:top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tcBorders>
              <w:top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89" w:type="dxa"/>
            <w:tcBorders>
              <w:top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75" w:type="dxa"/>
            <w:tcBorders>
              <w:top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0" w:type="dxa"/>
            <w:noWrap w:val="0"/>
            <w:vAlign w:val="center"/>
          </w:tcPr>
          <w:p>
            <w:pPr>
              <w:spacing w:beforeLines="0" w:afterLines="0"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4</w:t>
            </w:r>
          </w:p>
        </w:tc>
        <w:tc>
          <w:tcPr>
            <w:tcW w:w="2266"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2"/>
                <w:szCs w:val="22"/>
                <w:vertAlign w:val="baseline"/>
                <w:lang w:val="en-US" w:eastAsia="zh-CN"/>
              </w:rPr>
            </w:pPr>
            <w:r>
              <w:rPr>
                <w:rFonts w:hint="eastAsia" w:ascii="方正仿宋_GBK" w:hAnsi="方正仿宋_GBK" w:eastAsia="方正仿宋_GBK" w:cs="方正仿宋_GBK"/>
                <w:color w:val="auto"/>
                <w:sz w:val="22"/>
                <w:szCs w:val="22"/>
                <w:highlight w:val="none"/>
              </w:rPr>
              <w:t>主要技术人员</w:t>
            </w:r>
          </w:p>
        </w:tc>
        <w:tc>
          <w:tcPr>
            <w:tcW w:w="941"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89"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75"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0" w:type="dxa"/>
            <w:noWrap w:val="0"/>
            <w:vAlign w:val="center"/>
          </w:tcPr>
          <w:p>
            <w:pPr>
              <w:spacing w:beforeLines="0" w:afterLines="0"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5</w:t>
            </w:r>
          </w:p>
        </w:tc>
        <w:tc>
          <w:tcPr>
            <w:tcW w:w="2266" w:type="dxa"/>
            <w:gridSpan w:val="2"/>
            <w:noWrap w:val="0"/>
            <w:vAlign w:val="center"/>
          </w:tcPr>
          <w:p>
            <w:pPr>
              <w:widowControl w:val="0"/>
              <w:snapToGrid w:val="0"/>
              <w:ind w:left="0" w:leftChars="0" w:firstLine="0" w:firstLineChars="0"/>
              <w:jc w:val="center"/>
              <w:rPr>
                <w:rFonts w:hint="eastAsia" w:ascii="方正仿宋_GBK" w:hAnsi="方正仿宋_GBK" w:eastAsia="方正仿宋_GBK" w:cs="方正仿宋_GBK"/>
                <w:kern w:val="2"/>
                <w:sz w:val="22"/>
                <w:szCs w:val="22"/>
                <w:lang w:val="en-US" w:eastAsia="zh-CN" w:bidi="ar-SA"/>
              </w:rPr>
            </w:pPr>
            <w:r>
              <w:rPr>
                <w:rFonts w:hint="eastAsia" w:ascii="方正仿宋_GBK" w:hAnsi="方正仿宋_GBK" w:eastAsia="方正仿宋_GBK" w:cs="方正仿宋_GBK"/>
                <w:color w:val="auto"/>
                <w:kern w:val="2"/>
                <w:sz w:val="22"/>
                <w:szCs w:val="22"/>
                <w:highlight w:val="none"/>
                <w:lang w:val="en-US" w:eastAsia="zh-CN" w:bidi="ar-SA"/>
              </w:rPr>
              <w:t>投标文件编制人员</w:t>
            </w:r>
          </w:p>
        </w:tc>
        <w:tc>
          <w:tcPr>
            <w:tcW w:w="941"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977" w:type="dxa"/>
            <w:gridSpan w:val="2"/>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89"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c>
          <w:tcPr>
            <w:tcW w:w="1475" w:type="dxa"/>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78"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default"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b/>
                <w:bCs/>
                <w:color w:val="auto"/>
                <w:sz w:val="24"/>
                <w:szCs w:val="24"/>
                <w:highlight w:val="none"/>
                <w:vertAlign w:val="baseline"/>
                <w:lang w:val="en-US" w:eastAsia="zh-CN"/>
              </w:rPr>
              <w:t>说明：同一职务有多人担任（如主要技术人员），应分行填写。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78" w:type="dxa"/>
            <w:gridSpan w:val="8"/>
            <w:noWrap w:val="0"/>
            <w:vAlign w:val="center"/>
          </w:tcPr>
          <w:p>
            <w:pPr>
              <w:spacing w:line="240" w:lineRule="auto"/>
              <w:ind w:firstLine="0" w:firstLineChars="0"/>
              <w:jc w:val="center"/>
              <w:rPr>
                <w:rFonts w:hint="eastAsia" w:ascii="方正仿宋_GBK" w:hAnsi="方正仿宋_GBK" w:eastAsia="方正仿宋_GBK" w:cs="方正仿宋_GBK"/>
                <w:b/>
                <w:bCs/>
                <w:sz w:val="24"/>
                <w:szCs w:val="24"/>
                <w:vertAlign w:val="baseline"/>
                <w:lang w:val="en-US" w:eastAsia="zh-CN"/>
              </w:rPr>
            </w:pPr>
            <w:r>
              <w:rPr>
                <w:rFonts w:hint="eastAsia" w:ascii="方正仿宋_GBK" w:hAnsi="方正仿宋_GBK" w:eastAsia="方正仿宋_GBK" w:cs="方正仿宋_GBK"/>
                <w:b/>
                <w:bCs/>
                <w:sz w:val="24"/>
                <w:szCs w:val="24"/>
                <w:vertAlign w:val="baseline"/>
                <w:lang w:val="en-US" w:eastAsia="zh-CN"/>
              </w:rPr>
              <w:t>投标（响应）供应商关联关系情况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0" w:type="dxa"/>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序号</w:t>
            </w:r>
          </w:p>
        </w:tc>
        <w:tc>
          <w:tcPr>
            <w:tcW w:w="2266" w:type="dxa"/>
            <w:gridSpan w:val="2"/>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关联关系类型</w:t>
            </w:r>
          </w:p>
        </w:tc>
        <w:tc>
          <w:tcPr>
            <w:tcW w:w="1726" w:type="dxa"/>
            <w:gridSpan w:val="2"/>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关联主体名称</w:t>
            </w:r>
          </w:p>
        </w:tc>
        <w:tc>
          <w:tcPr>
            <w:tcW w:w="4156" w:type="dxa"/>
            <w:gridSpan w:val="3"/>
            <w:tcBorders>
              <w:bottom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tcW w:w="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1</w:t>
            </w:r>
          </w:p>
        </w:tc>
        <w:tc>
          <w:tcPr>
            <w:tcW w:w="22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lang w:val="en-US" w:eastAsia="zh-CN"/>
              </w:rPr>
              <w:t>控股股东</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p>
        </w:tc>
        <w:tc>
          <w:tcPr>
            <w:tcW w:w="415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ind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0"/>
                <w:szCs w:val="20"/>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大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730" w:type="dxa"/>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2</w:t>
            </w:r>
          </w:p>
        </w:tc>
        <w:tc>
          <w:tcPr>
            <w:tcW w:w="226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lang w:val="en-US" w:eastAsia="zh-CN"/>
              </w:rPr>
              <w:t>管理关系</w:t>
            </w:r>
          </w:p>
        </w:tc>
        <w:tc>
          <w:tcPr>
            <w:tcW w:w="1726"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ind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p>
        </w:tc>
        <w:tc>
          <w:tcPr>
            <w:tcW w:w="415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ind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0"/>
                <w:szCs w:val="20"/>
                <w:highlight w:val="none"/>
                <w:vertAlign w:val="baseline"/>
                <w:lang w:val="en-US" w:eastAsia="zh-CN"/>
              </w:rPr>
              <w:t>指对投标（响应）供应商不具有出资持股关系，但对其存在管理关系的主体</w:t>
            </w:r>
            <w:r>
              <w:rPr>
                <w:rFonts w:hint="eastAsia" w:ascii="方正仿宋_GBK" w:hAnsi="方正仿宋_GBK" w:eastAsia="方正仿宋_GBK" w:cs="方正仿宋_GBK"/>
                <w:color w:val="auto"/>
                <w:sz w:val="20"/>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878"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ind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b/>
                <w:bCs/>
                <w:color w:val="auto"/>
                <w:sz w:val="24"/>
                <w:szCs w:val="24"/>
                <w:highlight w:val="none"/>
                <w:vertAlign w:val="baseline"/>
                <w:lang w:val="en-US" w:eastAsia="zh-CN"/>
              </w:rPr>
              <w:t>说明：同一关联关系类型有多个主体的，应分行填写。</w:t>
            </w:r>
          </w:p>
        </w:tc>
      </w:tr>
    </w:tbl>
    <w:p>
      <w:pPr>
        <w:ind w:left="0" w:leftChars="0" w:firstLine="0" w:firstLineChars="0"/>
      </w:pPr>
    </w:p>
    <w:p>
      <w:pPr>
        <w:spacing w:after="156" w:afterLines="50" w:line="560" w:lineRule="exact"/>
        <w:outlineLvl w:val="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rPr>
        <w:t>附件</w:t>
      </w:r>
      <w:r>
        <w:rPr>
          <w:rFonts w:hint="eastAsia" w:ascii="仿宋_GB2312" w:hAnsi="仿宋_GB2312" w:eastAsia="仿宋_GB2312" w:cs="仿宋_GB2312"/>
          <w:sz w:val="32"/>
          <w:lang w:val="en-US" w:eastAsia="zh-CN"/>
        </w:rPr>
        <w:t>2</w:t>
      </w:r>
    </w:p>
    <w:p>
      <w:pPr>
        <w:snapToGrid w:val="0"/>
        <w:spacing w:line="360" w:lineRule="auto"/>
        <w:ind w:firstLine="920" w:firstLineChars="200"/>
        <w:jc w:val="center"/>
        <w:outlineLvl w:val="0"/>
        <w:rPr>
          <w:rFonts w:ascii="黑体" w:hAnsi="黑体" w:eastAsia="黑体"/>
          <w:sz w:val="44"/>
          <w:szCs w:val="44"/>
        </w:rPr>
      </w:pPr>
      <w:r>
        <w:rPr>
          <w:rFonts w:ascii="方正小标宋简体" w:hAnsi="方正小标宋简体" w:eastAsia="方正小标宋简体" w:cs="方正小标宋简体"/>
          <w:bCs/>
          <w:spacing w:val="10"/>
          <w:kern w:val="0"/>
          <w:sz w:val="44"/>
          <w:szCs w:val="44"/>
          <w:lang w:bidi="ar"/>
        </w:rPr>
        <w:t>政府采购投标及履约承诺函</w:t>
      </w:r>
    </w:p>
    <w:p>
      <w:pPr>
        <w:keepNext w:val="0"/>
        <w:keepLines w:val="0"/>
        <w:pageBreakBefore w:val="0"/>
        <w:widowControl/>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eastAsia="zh-CN"/>
        </w:rPr>
        <w:t>深</w:t>
      </w:r>
      <w:r>
        <w:rPr>
          <w:rFonts w:hint="eastAsia" w:ascii="仿宋_GB2312" w:hAnsi="仿宋_GB2312" w:eastAsia="仿宋_GB2312" w:cs="仿宋_GB2312"/>
          <w:sz w:val="32"/>
          <w:szCs w:val="32"/>
          <w:u w:val="single"/>
        </w:rPr>
        <w:t>圳市</w:t>
      </w:r>
      <w:r>
        <w:rPr>
          <w:rFonts w:hint="eastAsia" w:ascii="仿宋_GB2312" w:hAnsi="仿宋_GB2312" w:eastAsia="仿宋_GB2312" w:cs="仿宋_GB2312"/>
          <w:sz w:val="32"/>
          <w:szCs w:val="32"/>
          <w:u w:val="single"/>
          <w:lang w:eastAsia="zh-CN"/>
        </w:rPr>
        <w:t>建筑工务署</w:t>
      </w:r>
      <w:r>
        <w:rPr>
          <w:rFonts w:hint="eastAsia" w:ascii="仿宋_GB2312" w:hAnsi="仿宋_GB2312" w:eastAsia="仿宋_GB2312" w:cs="仿宋_GB2312"/>
          <w:sz w:val="32"/>
          <w:szCs w:val="32"/>
          <w:u w:val="single"/>
          <w:lang w:val="en-US" w:eastAsia="zh-CN"/>
        </w:rPr>
        <w:t xml:space="preserve">  </w:t>
      </w:r>
    </w:p>
    <w:p>
      <w:pPr>
        <w:pStyle w:val="13"/>
        <w:keepNext w:val="0"/>
        <w:keepLines w:val="0"/>
        <w:pageBreakBefore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 xml:space="preserve">  深圳市建筑工务署教育工程管理中心 </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单位郑重</w:t>
      </w:r>
      <w:r>
        <w:rPr>
          <w:rFonts w:hint="eastAsia" w:ascii="仿宋_GB2312" w:hAnsi="仿宋_GB2312" w:eastAsia="仿宋_GB2312" w:cs="仿宋_GB2312"/>
          <w:sz w:val="32"/>
          <w:szCs w:val="32"/>
        </w:rPr>
        <w:t>承诺</w:t>
      </w:r>
      <w:r>
        <w:rPr>
          <w:rFonts w:hint="eastAsia" w:ascii="仿宋_GB2312" w:hAnsi="仿宋_GB2312" w:eastAsia="仿宋_GB2312" w:cs="仿宋_GB2312"/>
          <w:sz w:val="32"/>
          <w:szCs w:val="32"/>
          <w:lang w:eastAsia="zh-CN"/>
        </w:rPr>
        <w:t>如下</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我单位系完全自愿参加深圳市建筑工务署、</w:t>
      </w:r>
      <w:r>
        <w:rPr>
          <w:rFonts w:hint="eastAsia" w:ascii="仿宋_GB2312" w:hAnsi="仿宋_GB2312" w:eastAsia="仿宋_GB2312" w:cs="仿宋_GB2312"/>
          <w:sz w:val="32"/>
          <w:szCs w:val="32"/>
          <w:lang w:val="en-US" w:eastAsia="zh-CN"/>
        </w:rPr>
        <w:t>深圳市建筑工务署教育工程管理中心2026-2027年度常年法律顾问项目投标；</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.参与本项目政府采购活动时未被列入失信被执行人、重大税收违法案件当事人名单、政府采购严重违法失信行为记录名单</w:t>
      </w:r>
      <w:r>
        <w:rPr>
          <w:rFonts w:hint="eastAsia" w:ascii="仿宋_GB2312" w:hAnsi="仿宋_GB2312" w:eastAsia="仿宋_GB2312" w:cs="仿宋_GB2312"/>
          <w:sz w:val="32"/>
          <w:szCs w:val="32"/>
          <w:lang w:eastAsia="zh-CN"/>
        </w:rPr>
        <w:t>；</w:t>
      </w:r>
    </w:p>
    <w:p>
      <w:pPr>
        <w:pStyle w:val="13"/>
        <w:keepNext w:val="0"/>
        <w:keepLines w:val="0"/>
        <w:pageBreakBefore w:val="0"/>
        <w:kinsoku/>
        <w:wordWrap/>
        <w:overflowPunct/>
        <w:topLinePunct w:val="0"/>
        <w:autoSpaceDE/>
        <w:autoSpaceDN/>
        <w:bidi w:val="0"/>
        <w:spacing w:line="440" w:lineRule="exact"/>
        <w:textAlignment w:val="auto"/>
        <w:rPr>
          <w:rFonts w:hint="default"/>
          <w:lang w:val="en-US" w:eastAsia="zh-CN"/>
        </w:rPr>
      </w:pPr>
      <w:r>
        <w:rPr>
          <w:rFonts w:hint="eastAsia" w:ascii="仿宋_GB2312" w:hAnsi="仿宋_GB2312" w:eastAsia="仿宋_GB2312" w:cs="仿宋_GB2312"/>
          <w:sz w:val="32"/>
          <w:szCs w:val="32"/>
          <w:lang w:val="en-US" w:eastAsia="zh-CN"/>
        </w:rPr>
        <w:t xml:space="preserve">    3.我单位承诺已将深圳市建筑工务署、深圳市建筑工务署工程管理中心、深圳市建筑工务署工程设计管理中心、深圳市建筑工务署文体和水务工程管理中心、深圳市建筑工务署教育工程管理中心作为同一利益冲突审查对象，且与上述深圳市建筑工务署及其四个直属单位不存在利益冲突；如我单位中标，我单位承诺继续将深圳市建筑工务署及其四个直属单位作为同一利益冲突审查对象；</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.如果中标，</w:t>
      </w:r>
      <w:r>
        <w:rPr>
          <w:rFonts w:hint="eastAsia" w:ascii="仿宋_GB2312" w:hAnsi="仿宋_GB2312" w:eastAsia="仿宋_GB2312" w:cs="仿宋_GB2312"/>
          <w:sz w:val="32"/>
          <w:szCs w:val="32"/>
          <w:lang w:eastAsia="zh-CN"/>
        </w:rPr>
        <w:t>我单位将严格</w:t>
      </w:r>
      <w:r>
        <w:rPr>
          <w:rFonts w:hint="eastAsia" w:ascii="仿宋_GB2312" w:hAnsi="仿宋_GB2312" w:eastAsia="仿宋_GB2312" w:cs="仿宋_GB2312"/>
          <w:sz w:val="32"/>
          <w:szCs w:val="32"/>
        </w:rPr>
        <w:t>依照本项目招标文件需求内容、签署的采购合同及在投标中所作的一切承诺</w:t>
      </w:r>
      <w:r>
        <w:rPr>
          <w:rFonts w:hint="eastAsia" w:ascii="仿宋_GB2312" w:hAnsi="仿宋_GB2312" w:eastAsia="仿宋_GB2312" w:cs="仿宋_GB2312"/>
          <w:sz w:val="32"/>
          <w:szCs w:val="32"/>
          <w:lang w:eastAsia="zh-CN"/>
        </w:rPr>
        <w:t>诚信</w:t>
      </w:r>
      <w:r>
        <w:rPr>
          <w:rFonts w:hint="eastAsia" w:ascii="仿宋_GB2312" w:hAnsi="仿宋_GB2312" w:eastAsia="仿宋_GB2312" w:cs="仿宋_GB2312"/>
          <w:sz w:val="32"/>
          <w:szCs w:val="32"/>
        </w:rPr>
        <w:t>履约</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以上承诺，如有违反，</w:t>
      </w:r>
      <w:r>
        <w:rPr>
          <w:rFonts w:hint="eastAsia" w:ascii="仿宋_GB2312" w:hAnsi="仿宋_GB2312" w:eastAsia="仿宋_GB2312" w:cs="仿宋_GB2312"/>
          <w:sz w:val="32"/>
          <w:szCs w:val="32"/>
          <w:lang w:eastAsia="zh-CN"/>
        </w:rPr>
        <w:t>贵方有权即时取消我单位投标资格、中标资格或单方解除合同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我方同意支付本项目最高投标限价或中标合同金额</w:t>
      </w:r>
      <w:r>
        <w:rPr>
          <w:rFonts w:hint="eastAsia" w:ascii="仿宋_GB2312" w:hAnsi="仿宋_GB2312" w:eastAsia="仿宋_GB2312" w:cs="仿宋_GB2312"/>
          <w:sz w:val="32"/>
          <w:szCs w:val="32"/>
          <w:lang w:val="en-US" w:eastAsia="zh-CN"/>
        </w:rPr>
        <w:t>20%作为违约金，并</w:t>
      </w:r>
      <w:r>
        <w:rPr>
          <w:rFonts w:hint="eastAsia" w:ascii="仿宋_GB2312" w:hAnsi="仿宋_GB2312" w:eastAsia="仿宋_GB2312" w:cs="仿宋_GB2312"/>
          <w:sz w:val="32"/>
          <w:szCs w:val="32"/>
          <w:lang w:eastAsia="zh-CN"/>
        </w:rPr>
        <w:t>无条件</w:t>
      </w:r>
      <w:r>
        <w:rPr>
          <w:rFonts w:hint="eastAsia" w:ascii="仿宋_GB2312" w:hAnsi="仿宋_GB2312" w:eastAsia="仿宋_GB2312" w:cs="仿宋_GB2312"/>
          <w:sz w:val="32"/>
          <w:szCs w:val="32"/>
        </w:rPr>
        <w:t>承担由此给</w:t>
      </w:r>
      <w:r>
        <w:rPr>
          <w:rFonts w:hint="eastAsia" w:ascii="仿宋_GB2312" w:hAnsi="仿宋_GB2312" w:eastAsia="仿宋_GB2312" w:cs="仿宋_GB2312"/>
          <w:sz w:val="32"/>
          <w:szCs w:val="32"/>
          <w:lang w:eastAsia="zh-CN"/>
        </w:rPr>
        <w:t>贵方造成的其他损失</w:t>
      </w:r>
      <w:r>
        <w:rPr>
          <w:rFonts w:hint="eastAsia" w:ascii="仿宋_GB2312" w:hAnsi="仿宋_GB2312" w:eastAsia="仿宋_GB2312" w:cs="仿宋_GB2312"/>
          <w:sz w:val="32"/>
          <w:szCs w:val="32"/>
        </w:rPr>
        <w:t>。</w:t>
      </w:r>
    </w:p>
    <w:p>
      <w:pPr>
        <w:pStyle w:val="13"/>
        <w:keepNext w:val="0"/>
        <w:keepLines w:val="0"/>
        <w:pageBreakBefore w:val="0"/>
        <w:kinsoku/>
        <w:wordWrap/>
        <w:overflowPunct/>
        <w:topLinePunct w:val="0"/>
        <w:autoSpaceDE/>
        <w:autoSpaceDN/>
        <w:bidi w:val="0"/>
        <w:adjustRightInd w:val="0"/>
        <w:snapToGrid w:val="0"/>
        <w:spacing w:line="44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val="0"/>
        <w:snapToGrid w:val="0"/>
        <w:spacing w:line="440" w:lineRule="exact"/>
        <w:ind w:firstLine="4160" w:firstLineChars="1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法定代表人：</w:t>
      </w:r>
    </w:p>
    <w:p>
      <w:pPr>
        <w:keepNext w:val="0"/>
        <w:keepLines w:val="0"/>
        <w:pageBreakBefore w:val="0"/>
        <w:widowControl/>
        <w:kinsoku/>
        <w:wordWrap/>
        <w:overflowPunct/>
        <w:topLinePunct w:val="0"/>
        <w:autoSpaceDE/>
        <w:autoSpaceDN/>
        <w:bidi w:val="0"/>
        <w:adjustRightInd w:val="0"/>
        <w:snapToGrid w:val="0"/>
        <w:spacing w:line="44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年   月    日</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adjustRightInd w:val="0"/>
        <w:snapToGrid w:val="0"/>
        <w:spacing w:line="440" w:lineRule="exact"/>
        <w:textAlignment w:val="auto"/>
        <w:rPr>
          <w:rFonts w:hint="eastAsia" w:ascii="仿宋_GB2312" w:hAnsi="仿宋_GB2312" w:eastAsia="仿宋_GB2312" w:cs="仿宋_GB2312"/>
          <w:sz w:val="32"/>
          <w:szCs w:val="32"/>
        </w:rPr>
      </w:pPr>
    </w:p>
    <w:p>
      <w:pPr>
        <w:keepNext/>
        <w:keepLines/>
        <w:spacing w:before="120" w:after="120" w:line="0" w:lineRule="atLeast"/>
        <w:jc w:val="both"/>
        <w:outlineLvl w:val="1"/>
        <w:rPr>
          <w:rFonts w:hint="default" w:ascii="仿宋_GB2312" w:hAnsi="仿宋_GB2312" w:eastAsia="仿宋_GB2312" w:cs="仿宋_GB2312"/>
          <w:b w:val="0"/>
          <w:bCs/>
          <w:color w:val="000000"/>
          <w:kern w:val="0"/>
          <w:sz w:val="32"/>
          <w:szCs w:val="32"/>
          <w:lang w:val="en-US" w:eastAsia="zh-CN"/>
        </w:rPr>
      </w:pPr>
      <w:r>
        <w:rPr>
          <w:rFonts w:hint="eastAsia" w:ascii="仿宋_GB2312" w:hAnsi="仿宋_GB2312" w:eastAsia="仿宋_GB2312" w:cs="仿宋_GB2312"/>
          <w:b w:val="0"/>
          <w:bCs/>
          <w:color w:val="000000"/>
          <w:kern w:val="0"/>
          <w:sz w:val="32"/>
          <w:szCs w:val="32"/>
          <w:lang w:val="en-US" w:eastAsia="zh-CN"/>
        </w:rPr>
        <w:t>附件3</w:t>
      </w:r>
    </w:p>
    <w:p>
      <w:pPr>
        <w:keepNext/>
        <w:keepLines/>
        <w:spacing w:before="120" w:after="120" w:line="0" w:lineRule="atLeast"/>
        <w:jc w:val="center"/>
        <w:outlineLvl w:val="1"/>
        <w:rPr>
          <w:rFonts w:hint="eastAsia" w:ascii="方正小标宋简体" w:hAnsi="方正小标宋简体" w:eastAsia="方正小标宋简体" w:cs="方正小标宋简体"/>
          <w:b w:val="0"/>
          <w:bCs/>
          <w:color w:val="000000"/>
          <w:kern w:val="0"/>
          <w:sz w:val="44"/>
          <w:szCs w:val="44"/>
        </w:rPr>
      </w:pPr>
      <w:r>
        <w:rPr>
          <w:rFonts w:hint="eastAsia" w:ascii="方正小标宋简体" w:hAnsi="方正小标宋简体" w:eastAsia="方正小标宋简体" w:cs="方正小标宋简体"/>
          <w:b w:val="0"/>
          <w:bCs/>
          <w:color w:val="000000"/>
          <w:kern w:val="0"/>
          <w:sz w:val="44"/>
          <w:szCs w:val="44"/>
        </w:rPr>
        <w:t>投标</w:t>
      </w:r>
      <w:r>
        <w:rPr>
          <w:rFonts w:hint="eastAsia" w:ascii="方正小标宋简体" w:hAnsi="方正小标宋简体" w:eastAsia="方正小标宋简体" w:cs="方正小标宋简体"/>
          <w:b w:val="0"/>
          <w:bCs/>
          <w:color w:val="000000"/>
          <w:kern w:val="0"/>
          <w:sz w:val="44"/>
          <w:szCs w:val="44"/>
          <w:lang w:eastAsia="zh-CN"/>
        </w:rPr>
        <w:t>报价</w:t>
      </w:r>
      <w:r>
        <w:rPr>
          <w:rFonts w:hint="eastAsia" w:ascii="方正小标宋简体" w:hAnsi="方正小标宋简体" w:eastAsia="方正小标宋简体" w:cs="方正小标宋简体"/>
          <w:b w:val="0"/>
          <w:bCs/>
          <w:color w:val="000000"/>
          <w:kern w:val="0"/>
          <w:sz w:val="44"/>
          <w:szCs w:val="44"/>
        </w:rPr>
        <w:t>函</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jc w:val="left"/>
        <w:textAlignment w:val="auto"/>
        <w:rPr>
          <w:rFonts w:hint="eastAsia" w:ascii="仿宋_GB2312" w:hAnsi="仿宋_GB2312" w:eastAsia="仿宋_GB2312" w:cs="仿宋_GB2312"/>
          <w:color w:val="000000"/>
          <w:sz w:val="30"/>
          <w:szCs w:val="30"/>
          <w:u w:val="single"/>
          <w:lang w:eastAsia="zh-CN"/>
        </w:rPr>
      </w:pPr>
      <w:r>
        <w:rPr>
          <w:rFonts w:hint="eastAsia" w:ascii="仿宋_GB2312" w:hAnsi="仿宋_GB2312" w:eastAsia="仿宋_GB2312" w:cs="仿宋_GB2312"/>
          <w:color w:val="000000"/>
          <w:sz w:val="30"/>
          <w:szCs w:val="30"/>
        </w:rPr>
        <w:t>致：</w:t>
      </w:r>
      <w:r>
        <w:rPr>
          <w:rFonts w:hint="eastAsia" w:ascii="仿宋_GB2312" w:hAnsi="仿宋_GB2312" w:eastAsia="仿宋_GB2312" w:cs="仿宋_GB2312"/>
          <w:b/>
          <w:bCs/>
          <w:color w:val="000000"/>
          <w:sz w:val="30"/>
          <w:szCs w:val="30"/>
          <w:u w:val="single"/>
        </w:rPr>
        <w:t>深圳市建筑工务署</w:t>
      </w:r>
      <w:r>
        <w:rPr>
          <w:rFonts w:hint="eastAsia" w:ascii="仿宋_GB2312" w:hAnsi="仿宋_GB2312" w:eastAsia="仿宋_GB2312" w:cs="仿宋_GB2312"/>
          <w:b/>
          <w:bCs/>
          <w:color w:val="000000"/>
          <w:sz w:val="30"/>
          <w:szCs w:val="30"/>
          <w:u w:val="single"/>
          <w:lang w:eastAsia="zh-CN"/>
        </w:rPr>
        <w:t>、深圳市建筑工务署教育工程管理中心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1.</w:t>
      </w:r>
      <w:r>
        <w:rPr>
          <w:rFonts w:hint="eastAsia" w:ascii="仿宋_GB2312" w:hAnsi="仿宋_GB2312" w:eastAsia="仿宋_GB2312" w:cs="仿宋_GB2312"/>
          <w:color w:val="000000"/>
          <w:sz w:val="30"/>
          <w:szCs w:val="30"/>
        </w:rPr>
        <w:t>根据</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深圳市建筑工务署 深圳市建筑工务署</w:t>
      </w:r>
      <w:r>
        <w:rPr>
          <w:rFonts w:hint="eastAsia" w:ascii="仿宋_GB2312" w:hAnsi="仿宋_GB2312" w:eastAsia="仿宋_GB2312" w:cs="仿宋_GB2312"/>
          <w:color w:val="000000"/>
          <w:sz w:val="30"/>
          <w:szCs w:val="30"/>
          <w:lang w:eastAsia="zh-CN"/>
        </w:rPr>
        <w:t>教育</w:t>
      </w:r>
      <w:r>
        <w:rPr>
          <w:rFonts w:hint="eastAsia" w:ascii="仿宋_GB2312" w:hAnsi="仿宋_GB2312" w:eastAsia="仿宋_GB2312" w:cs="仿宋_GB2312"/>
          <w:color w:val="000000"/>
          <w:sz w:val="30"/>
          <w:szCs w:val="30"/>
        </w:rPr>
        <w:t>工程管理中心202</w:t>
      </w:r>
      <w:r>
        <w:rPr>
          <w:rFonts w:hint="eastAsia" w:ascii="仿宋_GB2312" w:hAnsi="仿宋_GB2312" w:eastAsia="仿宋_GB2312" w:cs="仿宋_GB2312"/>
          <w:color w:val="000000"/>
          <w:sz w:val="30"/>
          <w:szCs w:val="30"/>
          <w:lang w:val="en-US" w:eastAsia="zh-CN"/>
        </w:rPr>
        <w:t>6</w:t>
      </w:r>
      <w:r>
        <w:rPr>
          <w:rFonts w:hint="eastAsia" w:ascii="仿宋_GB2312" w:hAnsi="仿宋_GB2312" w:eastAsia="仿宋_GB2312" w:cs="仿宋_GB2312"/>
          <w:color w:val="000000"/>
          <w:sz w:val="30"/>
          <w:szCs w:val="30"/>
        </w:rPr>
        <w:t>-202</w:t>
      </w:r>
      <w:r>
        <w:rPr>
          <w:rFonts w:hint="eastAsia" w:ascii="仿宋_GB2312" w:hAnsi="仿宋_GB2312" w:eastAsia="仿宋_GB2312" w:cs="仿宋_GB2312"/>
          <w:color w:val="000000"/>
          <w:sz w:val="30"/>
          <w:szCs w:val="30"/>
          <w:lang w:val="en-US" w:eastAsia="zh-CN"/>
        </w:rPr>
        <w:t>7</w:t>
      </w:r>
      <w:r>
        <w:rPr>
          <w:rFonts w:hint="eastAsia" w:ascii="仿宋_GB2312" w:hAnsi="仿宋_GB2312" w:eastAsia="仿宋_GB2312" w:cs="仿宋_GB2312"/>
          <w:color w:val="000000"/>
          <w:sz w:val="30"/>
          <w:szCs w:val="30"/>
        </w:rPr>
        <w:t>年度</w:t>
      </w:r>
      <w:r>
        <w:rPr>
          <w:rFonts w:hint="eastAsia" w:ascii="仿宋_GB2312" w:hAnsi="仿宋_GB2312" w:eastAsia="仿宋_GB2312" w:cs="仿宋_GB2312"/>
          <w:color w:val="000000"/>
          <w:sz w:val="30"/>
          <w:szCs w:val="30"/>
          <w:lang w:eastAsia="zh-CN"/>
        </w:rPr>
        <w:t>常年</w:t>
      </w:r>
      <w:r>
        <w:rPr>
          <w:rFonts w:hint="eastAsia" w:ascii="仿宋_GB2312" w:hAnsi="仿宋_GB2312" w:eastAsia="仿宋_GB2312" w:cs="仿宋_GB2312"/>
          <w:color w:val="000000"/>
          <w:sz w:val="30"/>
          <w:szCs w:val="30"/>
        </w:rPr>
        <w:t>法律</w:t>
      </w:r>
      <w:r>
        <w:rPr>
          <w:rFonts w:hint="eastAsia" w:ascii="仿宋_GB2312" w:hAnsi="仿宋_GB2312" w:eastAsia="仿宋_GB2312" w:cs="仿宋_GB2312"/>
          <w:color w:val="000000"/>
          <w:sz w:val="30"/>
          <w:szCs w:val="30"/>
          <w:lang w:eastAsia="zh-CN"/>
        </w:rPr>
        <w:t>顾问项目</w:t>
      </w:r>
      <w:r>
        <w:rPr>
          <w:rFonts w:hint="eastAsia" w:ascii="仿宋_GB2312" w:hAnsi="仿宋_GB2312" w:eastAsia="仿宋_GB2312" w:cs="仿宋_GB2312"/>
          <w:color w:val="000000"/>
          <w:sz w:val="30"/>
          <w:szCs w:val="30"/>
        </w:rPr>
        <w:t>招标公告</w:t>
      </w:r>
      <w:r>
        <w:rPr>
          <w:rFonts w:hint="eastAsia" w:ascii="仿宋_GB2312" w:hAnsi="仿宋_GB2312" w:eastAsia="仿宋_GB2312" w:cs="仿宋_GB2312"/>
          <w:color w:val="000000"/>
          <w:sz w:val="30"/>
          <w:szCs w:val="30"/>
          <w:lang w:eastAsia="zh-CN"/>
        </w:rPr>
        <w:t>》，遵照</w:t>
      </w:r>
      <w:r>
        <w:rPr>
          <w:rFonts w:hint="eastAsia" w:ascii="仿宋_GB2312" w:hAnsi="仿宋_GB2312" w:eastAsia="仿宋_GB2312" w:cs="仿宋_GB2312"/>
          <w:color w:val="000000"/>
          <w:sz w:val="30"/>
          <w:szCs w:val="30"/>
        </w:rPr>
        <w:t>《中华人民共和国招标投标法》《</w:t>
      </w:r>
      <w:r>
        <w:rPr>
          <w:rFonts w:hint="eastAsia" w:ascii="仿宋_GB2312" w:hAnsi="仿宋_GB2312" w:eastAsia="仿宋_GB2312" w:cs="仿宋_GB2312"/>
          <w:color w:val="000000"/>
          <w:sz w:val="30"/>
          <w:szCs w:val="30"/>
          <w:lang w:eastAsia="zh-CN"/>
        </w:rPr>
        <w:t>中华人民共和国</w:t>
      </w:r>
      <w:r>
        <w:rPr>
          <w:rFonts w:hint="eastAsia" w:ascii="仿宋_GB2312" w:hAnsi="仿宋_GB2312" w:eastAsia="仿宋_GB2312" w:cs="仿宋_GB2312"/>
          <w:color w:val="000000"/>
          <w:sz w:val="30"/>
          <w:szCs w:val="30"/>
        </w:rPr>
        <w:t>政府采购法》等有关规定，经研究，我方</w:t>
      </w:r>
      <w:r>
        <w:rPr>
          <w:rFonts w:hint="eastAsia" w:ascii="仿宋_GB2312" w:hAnsi="仿宋_GB2312" w:eastAsia="仿宋_GB2312" w:cs="仿宋_GB2312"/>
          <w:color w:val="000000"/>
          <w:sz w:val="30"/>
          <w:szCs w:val="30"/>
          <w:lang w:eastAsia="zh-CN"/>
        </w:rPr>
        <w:t>愿以如下报价承接贵方招标公告所述项目：本项目投标报价为</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none"/>
          <w:lang w:val="en-US" w:eastAsia="zh-CN"/>
        </w:rPr>
        <w:t>万元，其中深圳市建筑工务署2026-2027年度常年法律顾问项目报价为</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none"/>
          <w:lang w:val="en-US" w:eastAsia="zh-CN"/>
        </w:rPr>
        <w:t>万元，深圳市建筑工务署教育工程管理中心2026-2027年度常年法律顾问项目报价为</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none"/>
          <w:lang w:val="en-US" w:eastAsia="zh-CN"/>
        </w:rPr>
        <w:t>万元。</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2.</w:t>
      </w:r>
      <w:r>
        <w:rPr>
          <w:rFonts w:hint="eastAsia" w:ascii="仿宋_GB2312" w:hAnsi="仿宋_GB2312" w:eastAsia="仿宋_GB2312" w:cs="仿宋_GB2312"/>
          <w:color w:val="000000"/>
          <w:sz w:val="30"/>
          <w:szCs w:val="30"/>
        </w:rPr>
        <w:t>我方已详细</w:t>
      </w:r>
      <w:r>
        <w:rPr>
          <w:rFonts w:hint="eastAsia" w:ascii="仿宋_GB2312" w:hAnsi="仿宋_GB2312" w:eastAsia="仿宋_GB2312" w:cs="仿宋_GB2312"/>
          <w:color w:val="000000"/>
          <w:sz w:val="30"/>
          <w:szCs w:val="30"/>
          <w:lang w:eastAsia="zh-CN"/>
        </w:rPr>
        <w:t>阅读</w:t>
      </w:r>
      <w:r>
        <w:rPr>
          <w:rFonts w:hint="eastAsia" w:ascii="仿宋_GB2312" w:hAnsi="仿宋_GB2312" w:eastAsia="仿宋_GB2312" w:cs="仿宋_GB2312"/>
          <w:color w:val="000000"/>
          <w:sz w:val="30"/>
          <w:szCs w:val="30"/>
        </w:rPr>
        <w:t>、</w:t>
      </w:r>
      <w:r>
        <w:rPr>
          <w:rFonts w:hint="eastAsia" w:ascii="仿宋_GB2312" w:hAnsi="仿宋_GB2312" w:eastAsia="仿宋_GB2312" w:cs="仿宋_GB2312"/>
          <w:color w:val="000000"/>
          <w:sz w:val="30"/>
          <w:szCs w:val="30"/>
          <w:lang w:eastAsia="zh-CN"/>
        </w:rPr>
        <w:t>理解</w:t>
      </w:r>
      <w:r>
        <w:rPr>
          <w:rFonts w:hint="eastAsia" w:ascii="仿宋_GB2312" w:hAnsi="仿宋_GB2312" w:eastAsia="仿宋_GB2312" w:cs="仿宋_GB2312"/>
          <w:color w:val="000000"/>
          <w:sz w:val="30"/>
          <w:szCs w:val="30"/>
        </w:rPr>
        <w:t>、认可并接受招标公告中的全部内容和要求</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如因误解而造成的一切后果</w:t>
      </w:r>
      <w:r>
        <w:rPr>
          <w:rFonts w:hint="eastAsia" w:ascii="仿宋_GB2312" w:hAnsi="仿宋_GB2312" w:eastAsia="仿宋_GB2312" w:cs="仿宋_GB2312"/>
          <w:color w:val="000000"/>
          <w:sz w:val="30"/>
          <w:szCs w:val="30"/>
          <w:lang w:eastAsia="zh-CN"/>
        </w:rPr>
        <w:t>由</w:t>
      </w:r>
      <w:r>
        <w:rPr>
          <w:rFonts w:hint="eastAsia" w:ascii="仿宋_GB2312" w:hAnsi="仿宋_GB2312" w:eastAsia="仿宋_GB2312" w:cs="仿宋_GB2312"/>
          <w:color w:val="000000"/>
          <w:sz w:val="30"/>
          <w:szCs w:val="30"/>
        </w:rPr>
        <w:t>我方自行承担。</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3.</w:t>
      </w:r>
      <w:r>
        <w:rPr>
          <w:rFonts w:hint="eastAsia" w:ascii="仿宋_GB2312" w:hAnsi="仿宋_GB2312" w:eastAsia="仿宋_GB2312" w:cs="仿宋_GB2312"/>
          <w:color w:val="000000"/>
          <w:sz w:val="30"/>
          <w:szCs w:val="30"/>
          <w:lang w:eastAsia="zh-CN"/>
        </w:rPr>
        <w:t>如</w:t>
      </w:r>
      <w:r>
        <w:rPr>
          <w:rFonts w:hint="eastAsia" w:ascii="仿宋_GB2312" w:hAnsi="仿宋_GB2312" w:eastAsia="仿宋_GB2312" w:cs="仿宋_GB2312"/>
          <w:color w:val="000000"/>
          <w:sz w:val="30"/>
          <w:szCs w:val="30"/>
        </w:rPr>
        <w:t>我方中标，我方</w:t>
      </w:r>
      <w:r>
        <w:rPr>
          <w:rFonts w:hint="eastAsia" w:ascii="仿宋_GB2312" w:hAnsi="仿宋_GB2312" w:eastAsia="仿宋_GB2312" w:cs="仿宋_GB2312"/>
          <w:color w:val="000000"/>
          <w:sz w:val="30"/>
          <w:szCs w:val="30"/>
          <w:lang w:eastAsia="zh-CN"/>
        </w:rPr>
        <w:t>保证</w:t>
      </w:r>
      <w:r>
        <w:rPr>
          <w:rFonts w:hint="eastAsia" w:ascii="仿宋_GB2312" w:hAnsi="仿宋_GB2312" w:eastAsia="仿宋_GB2312" w:cs="仿宋_GB2312"/>
          <w:color w:val="000000"/>
          <w:sz w:val="30"/>
          <w:szCs w:val="30"/>
        </w:rPr>
        <w:t>按招标公告（合同）规定的服务内容和要求按时、按质、按量完成全部法律工作服务任务。</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4.</w:t>
      </w:r>
      <w:r>
        <w:rPr>
          <w:rFonts w:hint="eastAsia" w:ascii="仿宋_GB2312" w:hAnsi="仿宋_GB2312" w:eastAsia="仿宋_GB2312" w:cs="仿宋_GB2312"/>
          <w:color w:val="000000"/>
          <w:sz w:val="30"/>
          <w:szCs w:val="30"/>
        </w:rPr>
        <w:t>如我方中标，若</w:t>
      </w:r>
      <w:r>
        <w:rPr>
          <w:rFonts w:hint="eastAsia" w:ascii="仿宋_GB2312" w:hAnsi="仿宋_GB2312" w:eastAsia="仿宋_GB2312" w:cs="仿宋_GB2312"/>
          <w:color w:val="000000"/>
          <w:sz w:val="30"/>
          <w:szCs w:val="30"/>
          <w:lang w:eastAsia="zh-CN"/>
        </w:rPr>
        <w:t>我方</w:t>
      </w:r>
      <w:r>
        <w:rPr>
          <w:rFonts w:hint="eastAsia" w:ascii="仿宋_GB2312" w:hAnsi="仿宋_GB2312" w:eastAsia="仿宋_GB2312" w:cs="仿宋_GB2312"/>
          <w:color w:val="000000"/>
          <w:sz w:val="30"/>
          <w:szCs w:val="30"/>
        </w:rPr>
        <w:t>派往本项目的</w:t>
      </w:r>
      <w:r>
        <w:rPr>
          <w:rFonts w:hint="eastAsia" w:ascii="仿宋_GB2312" w:hAnsi="仿宋_GB2312" w:eastAsia="仿宋_GB2312" w:cs="仿宋_GB2312"/>
          <w:color w:val="000000"/>
          <w:sz w:val="30"/>
          <w:szCs w:val="30"/>
          <w:lang w:eastAsia="zh-CN"/>
        </w:rPr>
        <w:t>现场服务人员</w:t>
      </w:r>
      <w:r>
        <w:rPr>
          <w:rFonts w:hint="eastAsia" w:ascii="仿宋_GB2312" w:hAnsi="仿宋_GB2312" w:eastAsia="仿宋_GB2312" w:cs="仿宋_GB2312"/>
          <w:color w:val="000000"/>
          <w:sz w:val="30"/>
          <w:szCs w:val="30"/>
        </w:rPr>
        <w:t>与投标文件中所列的人员不符（经贵方同意更换的人员除外），贵方有权按照中标价的20％/人次向我方收取违约金或扣减我方法律顾问服务费，并可即时取消我方中标资格</w:t>
      </w:r>
      <w:r>
        <w:rPr>
          <w:rFonts w:hint="eastAsia" w:ascii="仿宋_GB2312" w:hAnsi="仿宋_GB2312" w:eastAsia="仿宋_GB2312" w:cs="仿宋_GB2312"/>
          <w:color w:val="000000"/>
          <w:sz w:val="30"/>
          <w:szCs w:val="30"/>
          <w:lang w:eastAsia="zh-CN"/>
        </w:rPr>
        <w:t>或</w:t>
      </w:r>
      <w:r>
        <w:rPr>
          <w:rFonts w:hint="eastAsia" w:ascii="仿宋_GB2312" w:hAnsi="仿宋_GB2312" w:eastAsia="仿宋_GB2312" w:cs="仿宋_GB2312"/>
          <w:color w:val="000000"/>
          <w:sz w:val="30"/>
          <w:szCs w:val="30"/>
        </w:rPr>
        <w:t>单方解除合同，且对我方不作任何补偿。</w:t>
      </w:r>
    </w:p>
    <w:p>
      <w:pPr>
        <w:keepNext w:val="0"/>
        <w:keepLines w:val="0"/>
        <w:pageBreakBefore w:val="0"/>
        <w:widowControl w:val="0"/>
        <w:kinsoku/>
        <w:wordWrap/>
        <w:overflowPunct/>
        <w:topLinePunct w:val="0"/>
        <w:autoSpaceDE/>
        <w:autoSpaceDN/>
        <w:bidi w:val="0"/>
        <w:adjustRightInd w:val="0"/>
        <w:snapToGrid w:val="0"/>
        <w:spacing w:line="520" w:lineRule="exact"/>
        <w:ind w:firstLine="600" w:firstLineChars="200"/>
        <w:textAlignment w:val="auto"/>
        <w:rPr>
          <w:rFonts w:hint="eastAsia" w:ascii="仿宋_GB2312" w:hAnsi="仿宋_GB2312" w:eastAsia="仿宋_GB2312" w:cs="仿宋_GB2312"/>
          <w:color w:val="000000"/>
          <w:sz w:val="30"/>
          <w:szCs w:val="30"/>
        </w:rPr>
      </w:pP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color w:val="000000"/>
          <w:sz w:val="30"/>
          <w:szCs w:val="30"/>
          <w:u w:val="single"/>
          <w:lang w:val="en-US" w:eastAsia="zh-CN"/>
        </w:rPr>
      </w:pP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color w:val="000000"/>
          <w:sz w:val="30"/>
          <w:szCs w:val="30"/>
        </w:rPr>
        <w:t>投标人（盖章）：</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color w:val="000000"/>
          <w:sz w:val="30"/>
          <w:szCs w:val="30"/>
        </w:rPr>
        <w:t>法定代表人（签字或盖章）：</w:t>
      </w:r>
    </w:p>
    <w:p>
      <w:pPr>
        <w:keepNext w:val="0"/>
        <w:keepLines w:val="0"/>
        <w:pageBreakBefore w:val="0"/>
        <w:widowControl w:val="0"/>
        <w:kinsoku/>
        <w:wordWrap/>
        <w:overflowPunct/>
        <w:topLinePunct w:val="0"/>
        <w:autoSpaceDE/>
        <w:autoSpaceDN/>
        <w:bidi w:val="0"/>
        <w:adjustRightInd w:val="0"/>
        <w:snapToGrid w:val="0"/>
        <w:spacing w:line="520" w:lineRule="exact"/>
        <w:ind w:firstLine="4200" w:firstLineChars="1400"/>
        <w:jc w:val="both"/>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lang w:val="en-US" w:eastAsia="zh-CN"/>
        </w:rPr>
        <w:t xml:space="preserve">    </w:t>
      </w:r>
      <w:r>
        <w:rPr>
          <w:rFonts w:hint="eastAsia" w:ascii="仿宋_GB2312" w:hAnsi="仿宋_GB2312" w:eastAsia="仿宋_GB2312" w:cs="仿宋_GB2312"/>
          <w:color w:val="000000"/>
          <w:sz w:val="30"/>
          <w:szCs w:val="30"/>
        </w:rPr>
        <w:t>日</w:t>
      </w:r>
    </w:p>
    <w:p>
      <w:pPr>
        <w:rPr>
          <w:rFonts w:hint="eastAsia" w:ascii="Times New Roman" w:hAnsi="Times New Roman"/>
          <w:b/>
          <w:color w:val="000000"/>
          <w:szCs w:val="24"/>
          <w:lang w:val="en-GB"/>
        </w:rPr>
      </w:pP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附件4</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本项目现场服务人员要求</w:t>
      </w: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1.投标人需为深圳市建筑工务署、深圳市建筑工务署教育工程管理中心各安排1名律师（律师助理）提供现场法律服务；</w:t>
      </w: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2.现场服务人员需通过全国统一司法考试或法律职业资格考试，依法取得《法律职业资格证书》A证；</w:t>
      </w: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3.现场服务人员须具</w:t>
      </w:r>
      <w:r>
        <w:rPr>
          <w:rFonts w:hint="default" w:ascii="仿宋_GB2312" w:hAnsi="仿宋_GB2312" w:eastAsia="仿宋_GB2312" w:cs="仿宋_GB2312"/>
          <w:sz w:val="32"/>
          <w:szCs w:val="32"/>
          <w:lang w:val="en-US" w:eastAsia="zh-CN"/>
        </w:rPr>
        <w:t>有</w:t>
      </w:r>
      <w:r>
        <w:rPr>
          <w:rFonts w:hint="eastAsia" w:ascii="仿宋_GB2312" w:hAnsi="仿宋_GB2312" w:eastAsia="仿宋_GB2312" w:cs="仿宋_GB2312"/>
          <w:sz w:val="32"/>
          <w:szCs w:val="32"/>
          <w:lang w:val="en-US" w:eastAsia="zh-CN"/>
        </w:rPr>
        <w:t>硕士研究生及以上学历，具备建筑工程行业法律服务经验或具有建筑行业教育背景；</w:t>
      </w: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4.拟安排的现场服务人员需参加招标人组织的面谈环节；</w:t>
      </w:r>
    </w:p>
    <w:p>
      <w:pPr>
        <w:keepNext w:val="0"/>
        <w:keepLines w:val="0"/>
        <w:pageBreakBefore w:val="0"/>
        <w:widowControl w:val="0"/>
        <w:kinsoku/>
        <w:wordWrap/>
        <w:overflowPunct/>
        <w:topLinePunct w:val="0"/>
        <w:autoSpaceDE/>
        <w:autoSpaceDN/>
        <w:bidi w:val="0"/>
        <w:adjustRightInd w:val="0"/>
        <w:snapToGrid w:val="0"/>
        <w:spacing w:before="157" w:beforeLines="50" w:line="520" w:lineRule="exact"/>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若中标人派往本项目的现场服务人员与招标文件要求或投标文件中所列的人员不符，招标人有权按照中标价的20％/人次向中标人收取违约金或扣减法律顾问服务费。同时，招标人有权单方解除合同，且对中标人不作任何补偿。</w:t>
      </w:r>
    </w:p>
    <w:p>
      <w:pPr>
        <w:keepNext w:val="0"/>
        <w:keepLines w:val="0"/>
        <w:pageBreakBefore w:val="0"/>
        <w:widowControl w:val="0"/>
        <w:snapToGrid w:val="0"/>
        <w:spacing w:before="157" w:beforeLines="50" w:line="560" w:lineRule="exact"/>
        <w:jc w:val="center"/>
        <w:outlineLvl w:val="9"/>
        <w:rPr>
          <w:rFonts w:hint="eastAsia" w:ascii="仿宋_GB2312" w:hAnsi="仿宋_GB2312" w:eastAsia="仿宋_GB2312" w:cs="仿宋_GB2312"/>
          <w:sz w:val="32"/>
          <w:szCs w:val="32"/>
        </w:rPr>
      </w:pPr>
    </w:p>
    <w:p>
      <w:pPr>
        <w:keepNext w:val="0"/>
        <w:keepLines w:val="0"/>
        <w:pageBreakBefore w:val="0"/>
        <w:widowControl w:val="0"/>
        <w:snapToGrid w:val="0"/>
        <w:spacing w:before="157" w:beforeLines="50" w:line="560" w:lineRule="exact"/>
      </w:pPr>
    </w:p>
    <w:p>
      <w:pPr>
        <w:keepNext w:val="0"/>
        <w:keepLines w:val="0"/>
        <w:pageBreakBefore w:val="0"/>
        <w:widowControl w:val="0"/>
        <w:snapToGrid w:val="0"/>
        <w:spacing w:before="157" w:beforeLines="50" w:line="560" w:lineRule="exact"/>
      </w:pPr>
    </w:p>
    <w:p>
      <w:pPr>
        <w:keepNext w:val="0"/>
        <w:keepLines w:val="0"/>
        <w:pageBreakBefore w:val="0"/>
        <w:widowControl w:val="0"/>
        <w:snapToGrid w:val="0"/>
        <w:spacing w:before="157" w:beforeLines="50" w:line="560" w:lineRule="exact"/>
      </w:pPr>
    </w:p>
    <w:p>
      <w:pPr>
        <w:keepNext w:val="0"/>
        <w:keepLines w:val="0"/>
        <w:pageBreakBefore w:val="0"/>
        <w:widowControl w:val="0"/>
        <w:snapToGrid w:val="0"/>
        <w:spacing w:before="157" w:beforeLines="50" w:line="560" w:lineRule="exact"/>
      </w:pPr>
    </w:p>
    <w:p>
      <w:pPr>
        <w:keepNext w:val="0"/>
        <w:keepLines w:val="0"/>
        <w:pageBreakBefore w:val="0"/>
        <w:widowControl w:val="0"/>
        <w:snapToGrid w:val="0"/>
        <w:spacing w:before="157" w:beforeLines="50" w:line="560" w:lineRule="exact"/>
      </w:pPr>
    </w:p>
    <w:p>
      <w:pPr>
        <w:keepNext w:val="0"/>
        <w:keepLines w:val="0"/>
        <w:pageBreakBefore w:val="0"/>
        <w:widowControl w:val="0"/>
        <w:snapToGrid w:val="0"/>
        <w:spacing w:before="157" w:beforeLines="50" w:line="560" w:lineRule="exact"/>
      </w:pPr>
    </w:p>
    <w:p>
      <w:pPr>
        <w:jc w:val="left"/>
        <w:rPr>
          <w:rFonts w:hint="eastAsia" w:ascii="仿宋_GB2312" w:hAnsi="仿宋_GB2312" w:eastAsia="仿宋_GB2312"/>
          <w:sz w:val="32"/>
          <w:szCs w:val="32"/>
          <w:lang w:eastAsia="zh-CN"/>
        </w:rPr>
      </w:pPr>
    </w:p>
    <w:p>
      <w:pPr>
        <w:jc w:val="left"/>
        <w:rPr>
          <w:rFonts w:ascii="仿宋_GB2312" w:hAnsi="仿宋_GB2312" w:eastAsia="仿宋_GB2312"/>
          <w:sz w:val="32"/>
          <w:szCs w:val="32"/>
          <w:lang w:val="en-US" w:eastAsia="zh-CN"/>
        </w:rPr>
      </w:pPr>
      <w:r>
        <w:rPr>
          <w:rFonts w:hint="eastAsia" w:ascii="仿宋_GB2312" w:hAnsi="仿宋_GB2312" w:eastAsia="仿宋_GB2312"/>
          <w:sz w:val="32"/>
          <w:szCs w:val="32"/>
          <w:lang w:eastAsia="zh-CN"/>
        </w:rPr>
        <w:t>附件</w:t>
      </w:r>
      <w:r>
        <w:rPr>
          <w:rFonts w:hint="eastAsia" w:ascii="仿宋_GB2312" w:hAnsi="仿宋_GB2312" w:eastAsia="仿宋_GB2312"/>
          <w:sz w:val="32"/>
          <w:szCs w:val="32"/>
          <w:lang w:val="en-US" w:eastAsia="zh-CN"/>
        </w:rPr>
        <w:t>5</w:t>
      </w:r>
    </w:p>
    <w:p>
      <w:pPr>
        <w:keepNext w:val="0"/>
        <w:keepLines w:val="0"/>
        <w:pageBreakBefore w:val="0"/>
        <w:widowControl w:val="0"/>
        <w:snapToGrid w:val="0"/>
        <w:spacing w:line="560" w:lineRule="exact"/>
        <w:jc w:val="center"/>
        <w:rPr>
          <w:rFonts w:hint="eastAsia" w:ascii="方正小标宋简体" w:hAnsi="方正小标宋简体" w:eastAsia="方正小标宋简体"/>
          <w:sz w:val="30"/>
          <w:szCs w:val="30"/>
        </w:rPr>
      </w:pPr>
      <w:r>
        <w:rPr>
          <w:rFonts w:hint="eastAsia" w:ascii="方正小标宋简体" w:hAnsi="方正小标宋简体" w:eastAsia="方正小标宋简体"/>
          <w:sz w:val="30"/>
          <w:szCs w:val="30"/>
        </w:rPr>
        <w:t>深圳市建筑工务署 深圳市建筑工务署教育工程管理中心2026-2027年度常年法律顾问项目综合评分表</w:t>
      </w:r>
    </w:p>
    <w:tbl>
      <w:tblPr>
        <w:tblStyle w:val="28"/>
        <w:tblpPr w:leftFromText="180" w:rightFromText="180" w:vertAnchor="text" w:horzAnchor="page" w:tblpXSpec="center" w:tblpY="334"/>
        <w:tblOverlap w:val="never"/>
        <w:tblW w:w="112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9"/>
        <w:gridCol w:w="700"/>
        <w:gridCol w:w="1737"/>
        <w:gridCol w:w="850"/>
        <w:gridCol w:w="6400"/>
        <w:gridCol w:w="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 w:hRule="atLeast"/>
          <w:jc w:val="center"/>
        </w:trPr>
        <w:tc>
          <w:tcPr>
            <w:tcW w:w="799"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序号</w:t>
            </w:r>
          </w:p>
        </w:tc>
        <w:tc>
          <w:tcPr>
            <w:tcW w:w="3287" w:type="dxa"/>
            <w:gridSpan w:val="3"/>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评分项</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分值</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 w:hRule="atLeast"/>
          <w:jc w:val="center"/>
        </w:trPr>
        <w:tc>
          <w:tcPr>
            <w:tcW w:w="799" w:type="dxa"/>
            <w:vMerge w:val="restart"/>
            <w:tcBorders>
              <w:top w:val="single" w:color="000000" w:sz="4" w:space="0"/>
              <w:left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1</w:t>
            </w:r>
          </w:p>
        </w:tc>
        <w:tc>
          <w:tcPr>
            <w:tcW w:w="3287" w:type="dxa"/>
            <w:gridSpan w:val="3"/>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价格部分</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sz w:val="24"/>
                <w:lang w:val="en-US" w:eastAsia="zh-CN"/>
              </w:rPr>
              <w:t>3</w:t>
            </w:r>
            <w:r>
              <w:rPr>
                <w:rFonts w:hint="eastAsia" w:ascii="宋体" w:hAnsi="宋体" w:eastAsia="宋体"/>
                <w:sz w:val="24"/>
              </w:rPr>
              <w:t>0</w:t>
            </w:r>
          </w:p>
        </w:tc>
        <w:tc>
          <w:tcPr>
            <w:tcW w:w="748" w:type="dxa"/>
            <w:vMerge w:val="restart"/>
            <w:tcBorders>
              <w:top w:val="single" w:color="000000" w:sz="4" w:space="0"/>
              <w:left w:val="single" w:color="000000" w:sz="4" w:space="0"/>
              <w:right w:val="single" w:color="000000" w:sz="4" w:space="0"/>
            </w:tcBorders>
            <w:noWrap w:val="0"/>
            <w:vAlign w:val="center"/>
          </w:tcPr>
          <w:p>
            <w:pPr>
              <w:spacing w:line="400" w:lineRule="exact"/>
              <w:jc w:val="center"/>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 w:hRule="atLeast"/>
          <w:jc w:val="center"/>
        </w:trPr>
        <w:tc>
          <w:tcPr>
            <w:tcW w:w="799" w:type="dxa"/>
            <w:vMerge w:val="continue"/>
            <w:tcBorders>
              <w:top w:val="single" w:color="000000" w:sz="4" w:space="0"/>
              <w:left w:val="single" w:color="000000" w:sz="4" w:space="0"/>
              <w:right w:val="single" w:color="000000" w:sz="4" w:space="0"/>
            </w:tcBorders>
            <w:noWrap w:val="0"/>
            <w:vAlign w:val="center"/>
          </w:tcPr>
          <w:p>
            <w:pPr>
              <w:spacing w:line="400" w:lineRule="exact"/>
              <w:jc w:val="center"/>
              <w:rPr>
                <w:rFonts w:hint="eastAsia" w:ascii="宋体" w:hAnsi="宋体" w:eastAsia="宋体"/>
                <w:sz w:val="24"/>
              </w:rPr>
            </w:pPr>
          </w:p>
        </w:tc>
        <w:tc>
          <w:tcPr>
            <w:tcW w:w="3287" w:type="dxa"/>
            <w:gridSpan w:val="3"/>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rPr>
            </w:pPr>
            <w:r>
              <w:rPr>
                <w:rFonts w:hint="eastAsia" w:ascii="宋体" w:hAnsi="宋体" w:eastAsia="宋体"/>
                <w:sz w:val="24"/>
              </w:rPr>
              <w:t>投标报价</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rPr>
            </w:pPr>
          </w:p>
        </w:tc>
        <w:tc>
          <w:tcPr>
            <w:tcW w:w="748" w:type="dxa"/>
            <w:vMerge w:val="continue"/>
            <w:tcBorders>
              <w:top w:val="single" w:color="000000" w:sz="4" w:space="0"/>
              <w:left w:val="single" w:color="000000" w:sz="4" w:space="0"/>
              <w:right w:val="single" w:color="000000" w:sz="4" w:space="0"/>
            </w:tcBorders>
            <w:noWrap w:val="0"/>
            <w:vAlign w:val="center"/>
          </w:tcPr>
          <w:p>
            <w:pPr>
              <w:spacing w:line="400" w:lineRule="exact"/>
              <w:jc w:val="center"/>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 w:hRule="atLeast"/>
          <w:jc w:val="center"/>
        </w:trPr>
        <w:tc>
          <w:tcPr>
            <w:tcW w:w="799" w:type="dxa"/>
            <w:vMerge w:val="continue"/>
            <w:tcBorders>
              <w:left w:val="single" w:color="000000" w:sz="4" w:space="0"/>
              <w:right w:val="single" w:color="000000" w:sz="4" w:space="0"/>
            </w:tcBorders>
            <w:noWrap w:val="0"/>
            <w:vAlign w:val="center"/>
          </w:tcPr>
          <w:p>
            <w:pPr>
              <w:spacing w:line="400" w:lineRule="exact"/>
              <w:jc w:val="center"/>
              <w:rPr>
                <w:rFonts w:ascii="宋体" w:hAnsi="宋体" w:eastAsia="宋体"/>
                <w:sz w:val="24"/>
              </w:rPr>
            </w:pPr>
          </w:p>
        </w:tc>
        <w:tc>
          <w:tcPr>
            <w:tcW w:w="3287"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eastAsia" w:ascii="宋体" w:hAnsi="宋体" w:eastAsia="宋体"/>
                <w:sz w:val="24"/>
                <w:lang w:eastAsia="zh-CN"/>
              </w:rPr>
            </w:pPr>
            <w:r>
              <w:rPr>
                <w:rFonts w:hint="eastAsia" w:ascii="宋体" w:hAnsi="宋体" w:eastAsia="宋体"/>
                <w:sz w:val="24"/>
              </w:rPr>
              <w:t>投标报价</w:t>
            </w:r>
            <w:r>
              <w:rPr>
                <w:rFonts w:hint="eastAsia" w:ascii="宋体" w:hAnsi="宋体"/>
                <w:sz w:val="24"/>
                <w:lang w:eastAsia="zh-CN"/>
              </w:rPr>
              <w:t>计</w:t>
            </w:r>
            <w:r>
              <w:rPr>
                <w:rFonts w:hint="eastAsia" w:ascii="宋体" w:hAnsi="宋体" w:eastAsia="宋体"/>
                <w:sz w:val="24"/>
              </w:rPr>
              <w:t>分</w:t>
            </w:r>
            <w:r>
              <w:rPr>
                <w:rFonts w:hint="eastAsia" w:ascii="宋体" w:hAnsi="宋体"/>
                <w:sz w:val="24"/>
                <w:lang w:eastAsia="zh-CN"/>
              </w:rPr>
              <w:t>规则</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400" w:lineRule="exact"/>
              <w:jc w:val="both"/>
              <w:textAlignment w:val="auto"/>
              <w:rPr>
                <w:rFonts w:ascii="宋体" w:hAnsi="宋体" w:eastAsia="宋体"/>
                <w:sz w:val="24"/>
              </w:rPr>
            </w:pPr>
            <w:r>
              <w:rPr>
                <w:rFonts w:hint="eastAsia" w:ascii="宋体" w:hAnsi="宋体"/>
                <w:sz w:val="24"/>
                <w:lang w:eastAsia="zh-CN"/>
              </w:rPr>
              <w:t>有效投标</w:t>
            </w:r>
            <w:r>
              <w:rPr>
                <w:rFonts w:hint="eastAsia" w:ascii="宋体" w:hAnsi="宋体" w:eastAsia="宋体"/>
                <w:sz w:val="24"/>
              </w:rPr>
              <w:t>报价最为接近B</w:t>
            </w:r>
            <w:r>
              <w:rPr>
                <w:rFonts w:hint="eastAsia" w:ascii="宋体" w:hAnsi="宋体"/>
                <w:sz w:val="24"/>
                <w:lang w:eastAsia="zh-CN"/>
              </w:rPr>
              <w:t>值</w:t>
            </w:r>
            <w:r>
              <w:rPr>
                <w:rFonts w:hint="eastAsia" w:ascii="宋体" w:hAnsi="宋体" w:eastAsia="宋体"/>
                <w:sz w:val="24"/>
              </w:rPr>
              <w:t>的投标人为第一名，此项满分；其余投标人按投标报价与“B”差值的绝对值从小到大排序，按排名情况依次递减</w:t>
            </w:r>
            <w:r>
              <w:rPr>
                <w:rFonts w:hint="eastAsia" w:ascii="宋体" w:hAnsi="宋体"/>
                <w:sz w:val="24"/>
                <w:lang w:val="en-US" w:eastAsia="zh-CN"/>
              </w:rPr>
              <w:t>1</w:t>
            </w:r>
            <w:r>
              <w:rPr>
                <w:rFonts w:hint="eastAsia" w:ascii="宋体" w:hAnsi="宋体" w:eastAsia="宋体"/>
                <w:sz w:val="24"/>
              </w:rPr>
              <w:t>分，</w:t>
            </w:r>
            <w:r>
              <w:rPr>
                <w:rFonts w:hint="eastAsia" w:ascii="宋体" w:hAnsi="宋体"/>
                <w:sz w:val="24"/>
                <w:lang w:eastAsia="zh-CN"/>
              </w:rPr>
              <w:t>扣至</w:t>
            </w:r>
            <w:r>
              <w:rPr>
                <w:rFonts w:hint="eastAsia" w:ascii="宋体" w:hAnsi="宋体"/>
                <w:sz w:val="24"/>
                <w:lang w:val="en-US" w:eastAsia="zh-CN"/>
              </w:rPr>
              <w:t>20分为止</w:t>
            </w:r>
            <w:r>
              <w:rPr>
                <w:rFonts w:hint="eastAsia" w:ascii="宋体" w:hAnsi="宋体" w:eastAsia="宋体"/>
                <w:sz w:val="24"/>
              </w:rPr>
              <w:t>。</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ascii="宋体" w:hAnsi="宋体" w:eastAsia="宋体"/>
                <w:sz w:val="24"/>
              </w:rPr>
            </w:pPr>
            <w:r>
              <w:rPr>
                <w:rFonts w:hint="eastAsia" w:ascii="宋体" w:hAnsi="宋体" w:eastAsia="宋体"/>
                <w:sz w:val="24"/>
              </w:rPr>
              <w:t>注：</w:t>
            </w:r>
            <w:r>
              <w:rPr>
                <w:rFonts w:hint="eastAsia" w:ascii="宋体" w:hAnsi="宋体"/>
                <w:b/>
                <w:bCs/>
                <w:sz w:val="24"/>
                <w:lang w:val="en-US" w:eastAsia="zh-CN"/>
              </w:rPr>
              <w:t>B</w:t>
            </w:r>
            <w:r>
              <w:rPr>
                <w:rFonts w:hint="eastAsia" w:ascii="宋体" w:hAnsi="宋体"/>
                <w:sz w:val="24"/>
                <w:lang w:val="en-US" w:eastAsia="zh-CN"/>
              </w:rPr>
              <w:t>为本项目所有有效投标报价的算术平均值</w:t>
            </w:r>
            <w:bookmarkStart w:id="0" w:name="OLE_LINK3"/>
            <w:bookmarkEnd w:id="0"/>
            <w:r>
              <w:rPr>
                <w:rFonts w:hint="eastAsia" w:ascii="宋体" w:hAnsi="宋体" w:eastAsia="宋体"/>
                <w:sz w:val="24"/>
              </w:rPr>
              <w:t>。</w:t>
            </w:r>
          </w:p>
        </w:tc>
        <w:tc>
          <w:tcPr>
            <w:tcW w:w="748" w:type="dxa"/>
            <w:vMerge w:val="continue"/>
            <w:tcBorders>
              <w:left w:val="single" w:color="000000" w:sz="4" w:space="0"/>
              <w:right w:val="single" w:color="000000" w:sz="4" w:space="0"/>
            </w:tcBorders>
            <w:noWrap w:val="0"/>
            <w:vAlign w:val="top"/>
          </w:tcPr>
          <w:p>
            <w:pPr>
              <w:spacing w:line="400" w:lineRule="exact"/>
              <w:jc w:val="center"/>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799" w:type="dxa"/>
            <w:vMerge w:val="restart"/>
            <w:tcBorders>
              <w:top w:val="single" w:color="000000" w:sz="4" w:space="0"/>
              <w:left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2</w:t>
            </w:r>
          </w:p>
        </w:tc>
        <w:tc>
          <w:tcPr>
            <w:tcW w:w="3287" w:type="dxa"/>
            <w:gridSpan w:val="3"/>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sz w:val="24"/>
                <w:lang w:eastAsia="zh-CN"/>
              </w:rPr>
              <w:t>业绩</w:t>
            </w:r>
            <w:r>
              <w:rPr>
                <w:rFonts w:hint="eastAsia" w:ascii="宋体" w:hAnsi="宋体" w:eastAsia="宋体"/>
                <w:sz w:val="24"/>
              </w:rPr>
              <w:t>部分</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lang w:val="en-US" w:eastAsia="zh-CN"/>
              </w:rPr>
            </w:pPr>
            <w:r>
              <w:rPr>
                <w:rFonts w:hint="eastAsia" w:ascii="宋体" w:hAnsi="宋体"/>
                <w:sz w:val="24"/>
                <w:lang w:val="en-US" w:eastAsia="zh-CN"/>
              </w:rPr>
              <w:t>40</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 w:hRule="atLeast"/>
          <w:jc w:val="center"/>
        </w:trPr>
        <w:tc>
          <w:tcPr>
            <w:tcW w:w="799" w:type="dxa"/>
            <w:vMerge w:val="continue"/>
            <w:tcBorders>
              <w:left w:val="single" w:color="000000" w:sz="4" w:space="0"/>
              <w:right w:val="single" w:color="000000" w:sz="4" w:space="0"/>
            </w:tcBorders>
            <w:noWrap w:val="0"/>
            <w:vAlign w:val="center"/>
          </w:tcPr>
          <w:p>
            <w:pPr>
              <w:spacing w:line="400" w:lineRule="exact"/>
              <w:jc w:val="center"/>
              <w:rPr>
                <w:rFonts w:ascii="宋体" w:hAnsi="宋体" w:eastAsia="宋体"/>
                <w:sz w:val="24"/>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行号</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eastAsia" w:ascii="宋体" w:hAnsi="宋体" w:eastAsia="宋体"/>
                <w:sz w:val="24"/>
                <w:lang w:eastAsia="zh-CN"/>
              </w:rPr>
            </w:pPr>
            <w:r>
              <w:rPr>
                <w:rFonts w:hint="eastAsia" w:ascii="宋体" w:hAnsi="宋体"/>
                <w:sz w:val="24"/>
                <w:lang w:eastAsia="zh-CN"/>
              </w:rPr>
              <w:t>业绩分类</w:t>
            </w:r>
          </w:p>
        </w:tc>
        <w:tc>
          <w:tcPr>
            <w:tcW w:w="85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eastAsia="宋体"/>
                <w:sz w:val="24"/>
              </w:rPr>
              <w:t>分值</w:t>
            </w:r>
          </w:p>
        </w:tc>
        <w:tc>
          <w:tcPr>
            <w:tcW w:w="640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评分准则</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799" w:type="dxa"/>
            <w:vMerge w:val="continue"/>
            <w:tcBorders>
              <w:left w:val="single" w:color="000000" w:sz="4" w:space="0"/>
              <w:right w:val="single" w:color="000000" w:sz="4" w:space="0"/>
            </w:tcBorders>
            <w:noWrap w:val="0"/>
            <w:vAlign w:val="center"/>
          </w:tcPr>
          <w:p>
            <w:pPr>
              <w:widowControl/>
              <w:spacing w:line="400" w:lineRule="exact"/>
              <w:jc w:val="center"/>
              <w:rPr>
                <w:rFonts w:ascii="宋体" w:hAnsi="宋体" w:eastAsia="宋体"/>
                <w:sz w:val="24"/>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2.1</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eastAsia" w:ascii="宋体" w:hAnsi="宋体" w:eastAsia="宋体"/>
                <w:sz w:val="24"/>
                <w:lang w:eastAsia="zh-CN"/>
              </w:rPr>
            </w:pPr>
            <w:r>
              <w:rPr>
                <w:rFonts w:hint="eastAsia" w:ascii="宋体" w:hAnsi="宋体"/>
                <w:sz w:val="24"/>
                <w:lang w:eastAsia="zh-CN"/>
              </w:rPr>
              <w:t>法律顾问类</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b/>
                <w:sz w:val="24"/>
                <w:lang w:val="en-US" w:eastAsia="zh-CN"/>
              </w:rPr>
            </w:pPr>
            <w:r>
              <w:rPr>
                <w:rFonts w:hint="eastAsia" w:ascii="宋体" w:hAnsi="宋体"/>
                <w:b/>
                <w:sz w:val="24"/>
                <w:lang w:val="en-US" w:eastAsia="zh-CN"/>
              </w:rPr>
              <w:t>20</w:t>
            </w:r>
          </w:p>
        </w:tc>
        <w:tc>
          <w:tcPr>
            <w:tcW w:w="6400" w:type="dxa"/>
            <w:vMerge w:val="restart"/>
            <w:tcBorders>
              <w:top w:val="single" w:color="000000" w:sz="4" w:space="0"/>
              <w:left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sz w:val="24"/>
                <w:lang w:val="en-US" w:eastAsia="zh-CN"/>
              </w:rPr>
            </w:pPr>
            <w:r>
              <w:rPr>
                <w:rFonts w:hint="eastAsia" w:ascii="宋体" w:hAnsi="宋体"/>
                <w:sz w:val="24"/>
                <w:lang w:val="en-US" w:eastAsia="zh-CN"/>
              </w:rPr>
              <w:t>2.1要求提供投标人业绩和项目负责人业绩各一项，分值均为10分，以投标文件排在第一位的业绩为准，超出部分不作认定；</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imes New Roman Regular" w:hAnsi="Times New Roman Regular" w:cs="Times New Roman Regular"/>
                <w:sz w:val="24"/>
                <w:lang w:val="en-US"/>
              </w:rPr>
            </w:pPr>
            <w:r>
              <w:rPr>
                <w:rFonts w:hint="eastAsia" w:ascii="宋体" w:hAnsi="宋体"/>
                <w:sz w:val="24"/>
                <w:lang w:val="en-US" w:eastAsia="zh-CN"/>
              </w:rPr>
              <w:t>2.2</w:t>
            </w:r>
            <w:r>
              <w:rPr>
                <w:rFonts w:hint="default" w:ascii="Times New Roman Regular" w:hAnsi="Times New Roman Regular" w:cs="Times New Roman Regular"/>
                <w:sz w:val="24"/>
                <w:lang w:val="en-US"/>
              </w:rPr>
              <w:t>类别业绩</w:t>
            </w:r>
            <w:r>
              <w:rPr>
                <w:rFonts w:hint="default" w:ascii="Times New Roman Regular" w:hAnsi="Times New Roman Regular" w:cs="Times New Roman Regular"/>
                <w:sz w:val="24"/>
                <w:lang w:val="en-US" w:eastAsia="zh-CN"/>
              </w:rPr>
              <w:t>为</w:t>
            </w:r>
            <w:r>
              <w:rPr>
                <w:rFonts w:hint="default" w:ascii="Times New Roman Regular" w:hAnsi="Times New Roman Regular" w:cs="Times New Roman Regular"/>
                <w:sz w:val="24"/>
                <w:lang w:val="en-US"/>
              </w:rPr>
              <w:t>投标人的业绩，</w:t>
            </w:r>
            <w:r>
              <w:rPr>
                <w:rFonts w:hint="default" w:ascii="Times New Roman Regular" w:hAnsi="Times New Roman Regular" w:cs="Times New Roman Regular"/>
                <w:sz w:val="24"/>
                <w:lang w:val="en-US" w:eastAsia="zh-CN"/>
              </w:rPr>
              <w:t>仅需提交一项，以投标文件排在第一位的业绩为准，超出部分不作认定</w:t>
            </w:r>
            <w:r>
              <w:rPr>
                <w:rFonts w:hint="default" w:ascii="Times New Roman Regular" w:hAnsi="Times New Roman Regular" w:cs="Times New Roman Regular"/>
                <w:sz w:val="24"/>
                <w:lang w:val="en-US"/>
              </w:rPr>
              <w:t>。</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ascii="宋体" w:hAnsi="宋体"/>
                <w:sz w:val="24"/>
                <w:lang w:val="en-US"/>
              </w:rPr>
            </w:pPr>
            <w:r>
              <w:rPr>
                <w:rFonts w:hint="eastAsia" w:ascii="Times New Roman Regular" w:hAnsi="Times New Roman Regular" w:cs="Times New Roman Regular"/>
                <w:sz w:val="24"/>
                <w:lang w:val="en-US" w:eastAsia="zh-CN"/>
              </w:rPr>
              <w:t>以上</w:t>
            </w:r>
            <w:r>
              <w:rPr>
                <w:rFonts w:ascii="宋体" w:hAnsi="宋体"/>
                <w:sz w:val="24"/>
                <w:lang w:val="en-US"/>
              </w:rPr>
              <w:t>业绩</w:t>
            </w:r>
            <w:r>
              <w:rPr>
                <w:rFonts w:hint="eastAsia" w:ascii="宋体" w:hAnsi="宋体"/>
                <w:sz w:val="24"/>
                <w:lang w:val="en-US" w:eastAsia="zh-CN"/>
              </w:rPr>
              <w:t>证明</w:t>
            </w:r>
            <w:r>
              <w:rPr>
                <w:rFonts w:ascii="宋体" w:hAnsi="宋体"/>
                <w:sz w:val="24"/>
                <w:lang w:val="en-US"/>
              </w:rPr>
              <w:t>材料</w:t>
            </w:r>
            <w:r>
              <w:rPr>
                <w:rFonts w:hint="eastAsia" w:ascii="宋体" w:hAnsi="宋体"/>
                <w:sz w:val="24"/>
                <w:lang w:val="en-US" w:eastAsia="zh-CN"/>
              </w:rPr>
              <w:t>要求</w:t>
            </w:r>
            <w:r>
              <w:rPr>
                <w:rFonts w:ascii="宋体" w:hAnsi="宋体"/>
                <w:sz w:val="24"/>
                <w:lang w:val="en-US"/>
              </w:rPr>
              <w:t>：</w:t>
            </w:r>
            <w:r>
              <w:rPr>
                <w:rFonts w:hint="eastAsia" w:ascii="宋体" w:hAnsi="宋体"/>
                <w:sz w:val="24"/>
                <w:lang w:val="en-US" w:eastAsia="zh-CN"/>
              </w:rPr>
              <w:t>所有业绩必须是2021年1月1日之后产生，可提供委托</w:t>
            </w:r>
            <w:r>
              <w:rPr>
                <w:rFonts w:ascii="宋体" w:hAnsi="宋体"/>
                <w:sz w:val="24"/>
                <w:lang w:val="en-US"/>
              </w:rPr>
              <w:t>合同</w:t>
            </w:r>
            <w:r>
              <w:rPr>
                <w:rFonts w:hint="eastAsia" w:ascii="宋体" w:hAnsi="宋体"/>
                <w:sz w:val="24"/>
                <w:lang w:val="en-US" w:eastAsia="zh-CN"/>
              </w:rPr>
              <w:t>（聘书）</w:t>
            </w:r>
            <w:r>
              <w:rPr>
                <w:rFonts w:ascii="宋体" w:hAnsi="宋体"/>
                <w:sz w:val="24"/>
                <w:lang w:val="en-US"/>
              </w:rPr>
              <w:t>、中标通知书、服务成果文件</w:t>
            </w:r>
            <w:r>
              <w:rPr>
                <w:rFonts w:hint="eastAsia" w:ascii="宋体" w:hAnsi="宋体"/>
                <w:sz w:val="24"/>
                <w:lang w:val="en-US" w:eastAsia="zh-CN"/>
              </w:rPr>
              <w:t>等证明业绩真实性材料</w:t>
            </w:r>
            <w:r>
              <w:rPr>
                <w:rFonts w:ascii="宋体" w:hAnsi="宋体"/>
                <w:sz w:val="24"/>
                <w:lang w:val="en-US"/>
              </w:rPr>
              <w:t>。</w:t>
            </w:r>
          </w:p>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sz w:val="24"/>
                <w:lang w:val="en-US" w:eastAsia="zh-CN"/>
              </w:rPr>
            </w:pPr>
            <w:r>
              <w:rPr>
                <w:rFonts w:hint="eastAsia" w:ascii="宋体" w:hAnsi="宋体"/>
                <w:b/>
                <w:bCs/>
                <w:sz w:val="24"/>
                <w:lang w:val="en-US" w:eastAsia="zh-CN"/>
              </w:rPr>
              <w:t>特别说明：2.1要求的法律顾问类业绩限于行政机关、事业单位、群团组织，项目负责人业绩可以是在投标人执业期间的业绩，也可以是在其他机构执业期间的业绩。</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left"/>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jc w:val="center"/>
        </w:trPr>
        <w:tc>
          <w:tcPr>
            <w:tcW w:w="799" w:type="dxa"/>
            <w:vMerge w:val="continue"/>
            <w:tcBorders>
              <w:left w:val="single" w:color="000000" w:sz="4" w:space="0"/>
              <w:right w:val="single" w:color="000000" w:sz="4" w:space="0"/>
            </w:tcBorders>
            <w:noWrap w:val="0"/>
            <w:vAlign w:val="center"/>
          </w:tcPr>
          <w:p>
            <w:pPr>
              <w:widowControl/>
              <w:spacing w:line="400" w:lineRule="exact"/>
              <w:jc w:val="center"/>
              <w:rPr>
                <w:rFonts w:ascii="宋体" w:hAnsi="宋体" w:eastAsia="宋体"/>
                <w:sz w:val="24"/>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2.2</w:t>
            </w:r>
          </w:p>
        </w:tc>
        <w:tc>
          <w:tcPr>
            <w:tcW w:w="1737"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eastAsia" w:ascii="宋体" w:hAnsi="宋体" w:eastAsia="宋体"/>
                <w:sz w:val="24"/>
                <w:lang w:eastAsia="zh-CN"/>
              </w:rPr>
            </w:pPr>
            <w:r>
              <w:rPr>
                <w:rFonts w:hint="eastAsia" w:ascii="宋体" w:hAnsi="宋体"/>
                <w:sz w:val="24"/>
                <w:lang w:eastAsia="zh-CN"/>
              </w:rPr>
              <w:t>建设工程合同纠纷诉讼类</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b/>
                <w:sz w:val="24"/>
                <w:lang w:val="en-US" w:eastAsia="zh-CN"/>
              </w:rPr>
            </w:pPr>
            <w:r>
              <w:rPr>
                <w:rFonts w:hint="eastAsia" w:ascii="宋体" w:hAnsi="宋体"/>
                <w:b/>
                <w:sz w:val="24"/>
                <w:lang w:val="en-US" w:eastAsia="zh-CN"/>
              </w:rPr>
              <w:t>20</w:t>
            </w:r>
          </w:p>
        </w:tc>
        <w:tc>
          <w:tcPr>
            <w:tcW w:w="6400" w:type="dxa"/>
            <w:vMerge w:val="continue"/>
            <w:tcBorders>
              <w:left w:val="single" w:color="000000" w:sz="4" w:space="0"/>
              <w:right w:val="single" w:color="000000" w:sz="4" w:space="0"/>
            </w:tcBorders>
            <w:noWrap w:val="0"/>
            <w:vAlign w:val="top"/>
          </w:tcPr>
          <w:p>
            <w:pPr>
              <w:spacing w:line="400" w:lineRule="exact"/>
              <w:jc w:val="left"/>
              <w:rPr>
                <w:rFonts w:ascii="宋体" w:hAnsi="宋体" w:eastAsia="宋体"/>
                <w:sz w:val="24"/>
              </w:rPr>
            </w:pP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left"/>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 w:hRule="atLeast"/>
          <w:jc w:val="center"/>
        </w:trPr>
        <w:tc>
          <w:tcPr>
            <w:tcW w:w="799" w:type="dxa"/>
            <w:vMerge w:val="restart"/>
            <w:tcBorders>
              <w:top w:val="single" w:color="000000" w:sz="4" w:space="0"/>
              <w:left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3</w:t>
            </w:r>
          </w:p>
        </w:tc>
        <w:tc>
          <w:tcPr>
            <w:tcW w:w="3287" w:type="dxa"/>
            <w:gridSpan w:val="3"/>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ascii="宋体" w:hAnsi="宋体" w:eastAsia="宋体"/>
                <w:sz w:val="24"/>
              </w:rPr>
            </w:pPr>
            <w:r>
              <w:rPr>
                <w:rFonts w:hint="eastAsia" w:ascii="宋体" w:hAnsi="宋体"/>
                <w:sz w:val="24"/>
                <w:lang w:eastAsia="zh-CN"/>
              </w:rPr>
              <w:t>现场服务人员</w:t>
            </w:r>
            <w:r>
              <w:rPr>
                <w:rFonts w:hint="eastAsia" w:ascii="宋体" w:hAnsi="宋体" w:eastAsia="宋体"/>
                <w:sz w:val="24"/>
              </w:rPr>
              <w:t>部分</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lang w:eastAsia="zh-CN"/>
              </w:rPr>
            </w:pPr>
            <w:r>
              <w:rPr>
                <w:rFonts w:hint="eastAsia" w:ascii="宋体" w:hAnsi="宋体"/>
                <w:sz w:val="24"/>
                <w:lang w:val="en-US" w:eastAsia="zh-CN"/>
              </w:rPr>
              <w:t>30</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jc w:val="center"/>
        </w:trPr>
        <w:tc>
          <w:tcPr>
            <w:tcW w:w="799" w:type="dxa"/>
            <w:vMerge w:val="continue"/>
            <w:tcBorders>
              <w:left w:val="single" w:color="000000" w:sz="4" w:space="0"/>
              <w:right w:val="single" w:color="000000" w:sz="4" w:space="0"/>
            </w:tcBorders>
            <w:noWrap w:val="0"/>
            <w:vAlign w:val="top"/>
          </w:tcPr>
          <w:p>
            <w:pPr>
              <w:spacing w:line="400" w:lineRule="exact"/>
              <w:jc w:val="center"/>
              <w:rPr>
                <w:rFonts w:ascii="宋体" w:hAnsi="宋体" w:eastAsia="宋体"/>
                <w:sz w:val="24"/>
              </w:rPr>
            </w:pPr>
          </w:p>
        </w:tc>
        <w:tc>
          <w:tcPr>
            <w:tcW w:w="3287"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eastAsia" w:ascii="宋体" w:hAnsi="宋体" w:eastAsia="宋体"/>
                <w:sz w:val="24"/>
                <w:lang w:eastAsia="zh-CN"/>
              </w:rPr>
            </w:pPr>
            <w:r>
              <w:rPr>
                <w:rFonts w:hint="eastAsia" w:ascii="宋体" w:hAnsi="宋体" w:eastAsia="宋体"/>
                <w:sz w:val="24"/>
              </w:rPr>
              <w:t>评分因素</w:t>
            </w:r>
          </w:p>
        </w:tc>
        <w:tc>
          <w:tcPr>
            <w:tcW w:w="6400" w:type="dxa"/>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ascii="宋体" w:hAnsi="宋体" w:eastAsia="宋体"/>
                <w:sz w:val="24"/>
              </w:rPr>
            </w:pPr>
            <w:r>
              <w:rPr>
                <w:rFonts w:hint="eastAsia" w:ascii="宋体" w:hAnsi="宋体" w:eastAsia="宋体"/>
                <w:sz w:val="24"/>
              </w:rPr>
              <w:t>评分准则</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center"/>
              <w:rPr>
                <w:rFonts w:hint="eastAsia"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 w:hRule="atLeast"/>
          <w:jc w:val="center"/>
        </w:trPr>
        <w:tc>
          <w:tcPr>
            <w:tcW w:w="799" w:type="dxa"/>
            <w:vMerge w:val="continue"/>
            <w:tcBorders>
              <w:left w:val="single" w:color="000000" w:sz="4" w:space="0"/>
              <w:right w:val="single" w:color="000000" w:sz="4" w:space="0"/>
            </w:tcBorders>
            <w:noWrap w:val="0"/>
            <w:vAlign w:val="center"/>
          </w:tcPr>
          <w:p>
            <w:pPr>
              <w:widowControl/>
              <w:spacing w:line="400" w:lineRule="exact"/>
              <w:jc w:val="left"/>
              <w:rPr>
                <w:rFonts w:ascii="宋体" w:hAnsi="宋体" w:eastAsia="宋体"/>
                <w:sz w:val="24"/>
              </w:rPr>
            </w:pPr>
          </w:p>
        </w:tc>
        <w:tc>
          <w:tcPr>
            <w:tcW w:w="3287"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400" w:lineRule="exact"/>
              <w:jc w:val="center"/>
              <w:rPr>
                <w:rFonts w:hint="default" w:ascii="宋体" w:hAnsi="宋体" w:eastAsia="宋体"/>
                <w:b/>
                <w:sz w:val="24"/>
                <w:lang w:val="en-US" w:eastAsia="zh-CN"/>
              </w:rPr>
            </w:pPr>
            <w:r>
              <w:rPr>
                <w:rFonts w:ascii="宋体" w:hAnsi="宋体"/>
                <w:sz w:val="24"/>
                <w:lang w:val="en-US" w:eastAsia="zh-CN"/>
              </w:rPr>
              <w:t>综合能力</w:t>
            </w:r>
          </w:p>
        </w:tc>
        <w:tc>
          <w:tcPr>
            <w:tcW w:w="640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sz w:val="24"/>
                <w:lang w:val="en-US" w:eastAsia="zh-CN"/>
              </w:rPr>
            </w:pPr>
            <w:r>
              <w:rPr>
                <w:rFonts w:ascii="宋体" w:hAnsi="宋体"/>
                <w:sz w:val="24"/>
                <w:lang w:val="en-US"/>
              </w:rPr>
              <w:t>理解问题</w:t>
            </w:r>
            <w:r>
              <w:rPr>
                <w:rFonts w:hint="eastAsia" w:ascii="宋体" w:hAnsi="宋体"/>
                <w:sz w:val="24"/>
                <w:lang w:val="en-US" w:eastAsia="zh-CN"/>
              </w:rPr>
              <w:t>能力5分；</w:t>
            </w:r>
            <w:r>
              <w:rPr>
                <w:rFonts w:ascii="宋体" w:hAnsi="宋体"/>
                <w:sz w:val="24"/>
                <w:lang w:val="en-US"/>
              </w:rPr>
              <w:t>分析问题</w:t>
            </w:r>
            <w:r>
              <w:rPr>
                <w:rFonts w:hint="eastAsia" w:ascii="宋体" w:hAnsi="宋体"/>
                <w:sz w:val="24"/>
                <w:lang w:val="en-US" w:eastAsia="zh-CN"/>
              </w:rPr>
              <w:t>能力5分</w:t>
            </w:r>
            <w:r>
              <w:rPr>
                <w:rFonts w:ascii="宋体" w:hAnsi="宋体"/>
                <w:sz w:val="24"/>
                <w:lang w:val="en-US"/>
              </w:rPr>
              <w:t>；解决问题</w:t>
            </w:r>
            <w:r>
              <w:rPr>
                <w:rFonts w:hint="eastAsia" w:ascii="宋体" w:hAnsi="宋体"/>
                <w:sz w:val="24"/>
                <w:lang w:val="en-US" w:eastAsia="zh-CN"/>
              </w:rPr>
              <w:t>能力5分</w:t>
            </w:r>
            <w:r>
              <w:rPr>
                <w:rFonts w:ascii="宋体" w:hAnsi="宋体"/>
                <w:sz w:val="24"/>
                <w:lang w:val="en-US"/>
              </w:rPr>
              <w:t>；表达能力</w:t>
            </w:r>
            <w:r>
              <w:rPr>
                <w:rFonts w:hint="eastAsia" w:ascii="宋体" w:hAnsi="宋体"/>
                <w:sz w:val="24"/>
                <w:lang w:val="en-US" w:eastAsia="zh-CN"/>
              </w:rPr>
              <w:t>5分</w:t>
            </w:r>
            <w:r>
              <w:rPr>
                <w:rFonts w:ascii="宋体" w:hAnsi="宋体"/>
                <w:sz w:val="24"/>
                <w:lang w:val="en-US"/>
              </w:rPr>
              <w:t>；应变能力</w:t>
            </w:r>
            <w:r>
              <w:rPr>
                <w:rFonts w:hint="eastAsia" w:ascii="宋体" w:hAnsi="宋体"/>
                <w:sz w:val="24"/>
                <w:lang w:val="en-US" w:eastAsia="zh-CN"/>
              </w:rPr>
              <w:t>10分</w:t>
            </w:r>
            <w:r>
              <w:rPr>
                <w:rFonts w:ascii="宋体" w:hAnsi="宋体"/>
                <w:sz w:val="24"/>
                <w:lang w:val="en-US"/>
              </w:rPr>
              <w:t>。</w:t>
            </w:r>
            <w:r>
              <w:rPr>
                <w:rFonts w:hint="eastAsia" w:ascii="宋体" w:hAnsi="宋体"/>
                <w:sz w:val="24"/>
                <w:lang w:val="en-US" w:eastAsia="zh-CN"/>
              </w:rPr>
              <w:t>本项最终得分为两位现场服务人员得分的算术平均值。</w:t>
            </w: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left"/>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 w:hRule="atLeast"/>
          <w:jc w:val="center"/>
        </w:trPr>
        <w:tc>
          <w:tcPr>
            <w:tcW w:w="799" w:type="dxa"/>
            <w:tcBorders>
              <w:left w:val="single" w:color="000000" w:sz="4" w:space="0"/>
              <w:right w:val="single" w:color="000000" w:sz="4" w:space="0"/>
            </w:tcBorders>
            <w:noWrap w:val="0"/>
            <w:vAlign w:val="center"/>
          </w:tcPr>
          <w:p>
            <w:pPr>
              <w:widowControl/>
              <w:spacing w:line="400" w:lineRule="exact"/>
              <w:jc w:val="left"/>
              <w:rPr>
                <w:rFonts w:hint="eastAsia" w:ascii="宋体" w:hAnsi="宋体" w:eastAsia="宋体"/>
                <w:b/>
                <w:bCs/>
                <w:sz w:val="24"/>
                <w:lang w:eastAsia="zh-CN"/>
              </w:rPr>
            </w:pPr>
            <w:r>
              <w:rPr>
                <w:rFonts w:hint="eastAsia" w:ascii="宋体" w:hAnsi="宋体" w:eastAsia="宋体"/>
                <w:b/>
                <w:bCs/>
                <w:sz w:val="24"/>
              </w:rPr>
              <w:t>总</w:t>
            </w:r>
            <w:r>
              <w:rPr>
                <w:rFonts w:hint="eastAsia" w:ascii="宋体" w:hAnsi="宋体"/>
                <w:b/>
                <w:bCs/>
                <w:sz w:val="24"/>
                <w:lang w:eastAsia="zh-CN"/>
              </w:rPr>
              <w:t>分</w:t>
            </w:r>
          </w:p>
        </w:tc>
        <w:tc>
          <w:tcPr>
            <w:tcW w:w="9687" w:type="dxa"/>
            <w:gridSpan w:val="4"/>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left"/>
              <w:rPr>
                <w:rFonts w:ascii="宋体" w:hAnsi="宋体" w:eastAsia="宋体"/>
                <w:sz w:val="24"/>
              </w:rPr>
            </w:pPr>
          </w:p>
        </w:tc>
        <w:tc>
          <w:tcPr>
            <w:tcW w:w="748" w:type="dxa"/>
            <w:tcBorders>
              <w:top w:val="single" w:color="000000" w:sz="4" w:space="0"/>
              <w:left w:val="single" w:color="000000" w:sz="4" w:space="0"/>
              <w:bottom w:val="single" w:color="000000" w:sz="4" w:space="0"/>
              <w:right w:val="single" w:color="000000" w:sz="4" w:space="0"/>
            </w:tcBorders>
            <w:noWrap w:val="0"/>
            <w:vAlign w:val="top"/>
          </w:tcPr>
          <w:p>
            <w:pPr>
              <w:spacing w:line="400" w:lineRule="exact"/>
              <w:jc w:val="left"/>
              <w:rPr>
                <w:rFonts w:ascii="宋体" w:hAnsi="宋体" w:eastAsia="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99" w:type="dxa"/>
            <w:tcBorders>
              <w:left w:val="single" w:color="000000" w:sz="4" w:space="0"/>
              <w:right w:val="single" w:color="000000" w:sz="4" w:space="0"/>
            </w:tcBorders>
            <w:noWrap w:val="0"/>
            <w:vAlign w:val="center"/>
          </w:tcPr>
          <w:p>
            <w:pPr>
              <w:widowControl/>
              <w:spacing w:line="400" w:lineRule="exact"/>
              <w:jc w:val="left"/>
              <w:rPr>
                <w:rFonts w:ascii="宋体" w:hAnsi="宋体" w:eastAsia="宋体"/>
                <w:b/>
                <w:bCs/>
                <w:sz w:val="24"/>
              </w:rPr>
            </w:pPr>
            <w:r>
              <w:rPr>
                <w:rFonts w:hint="eastAsia" w:ascii="宋体" w:hAnsi="宋体"/>
                <w:b/>
                <w:bCs/>
                <w:sz w:val="24"/>
                <w:lang w:eastAsia="zh-CN"/>
              </w:rPr>
              <w:t>备注</w:t>
            </w:r>
          </w:p>
        </w:tc>
        <w:tc>
          <w:tcPr>
            <w:tcW w:w="10435" w:type="dxa"/>
            <w:gridSpan w:val="5"/>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ascii="宋体" w:hAnsi="宋体" w:eastAsia="宋体"/>
                <w:sz w:val="24"/>
                <w:lang w:val="en-US" w:eastAsia="zh-CN"/>
              </w:rPr>
            </w:pPr>
            <w:r>
              <w:rPr>
                <w:rFonts w:hint="eastAsia" w:ascii="宋体" w:hAnsi="宋体"/>
                <w:sz w:val="24"/>
                <w:lang w:eastAsia="zh-CN"/>
              </w:rPr>
              <w:t>综合评分等级分为优、良、合格三等。其中综合评分</w:t>
            </w:r>
            <w:r>
              <w:rPr>
                <w:rFonts w:ascii="Arial" w:hAnsi="Arial"/>
                <w:sz w:val="24"/>
                <w:lang w:eastAsia="zh-CN"/>
              </w:rPr>
              <w:t>≥</w:t>
            </w:r>
            <w:r>
              <w:rPr>
                <w:rFonts w:hint="eastAsia" w:ascii="宋体" w:hAnsi="宋体"/>
                <w:sz w:val="24"/>
                <w:lang w:val="en-US" w:eastAsia="zh-CN"/>
              </w:rPr>
              <w:t>90为优，80</w:t>
            </w:r>
            <w:r>
              <w:rPr>
                <w:rFonts w:ascii="Arial" w:hAnsi="Arial"/>
                <w:sz w:val="24"/>
                <w:lang w:val="en-US" w:eastAsia="zh-CN"/>
              </w:rPr>
              <w:t>≤</w:t>
            </w:r>
            <w:r>
              <w:rPr>
                <w:rFonts w:hint="eastAsia" w:ascii="宋体" w:hAnsi="宋体"/>
                <w:sz w:val="24"/>
                <w:lang w:val="en-US" w:eastAsia="zh-CN"/>
              </w:rPr>
              <w:t>综合评分&lt;90为良，60</w:t>
            </w:r>
            <w:r>
              <w:rPr>
                <w:rFonts w:ascii="Arial" w:hAnsi="Arial"/>
                <w:sz w:val="24"/>
                <w:lang w:val="en-US" w:eastAsia="zh-CN"/>
              </w:rPr>
              <w:t>≤</w:t>
            </w:r>
            <w:r>
              <w:rPr>
                <w:rFonts w:hint="eastAsia" w:ascii="宋体" w:hAnsi="宋体"/>
                <w:sz w:val="24"/>
                <w:lang w:val="en-US" w:eastAsia="zh-CN"/>
              </w:rPr>
              <w:t>综合评分&lt;80为合格。所有涉及平均值的计算均保留小数点后两位。</w:t>
            </w:r>
          </w:p>
        </w:tc>
      </w:tr>
    </w:tbl>
    <w:p/>
    <w:p>
      <w:pPr>
        <w:jc w:val="left"/>
        <w:rPr>
          <w:rFonts w:hint="default" w:ascii="黑体" w:hAnsi="黑体" w:eastAsia="黑体" w:cs="黑体"/>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6</w:t>
      </w: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outlineLvl w:val="1"/>
        <w:rPr>
          <w:rFonts w:hint="eastAsia" w:ascii="方正小标宋简体" w:hAnsi="方正小标宋简体" w:eastAsia="方正小标宋简体" w:cs="方正小标宋简体"/>
          <w:bCs/>
          <w:color w:val="000000"/>
          <w:sz w:val="32"/>
          <w:szCs w:val="32"/>
          <w:lang w:val="en-US" w:eastAsia="zh-CN"/>
        </w:rPr>
      </w:pPr>
      <w:bookmarkStart w:id="1" w:name="_Toc6412"/>
      <w:bookmarkStart w:id="2" w:name="_Toc24036278"/>
      <w:r>
        <w:rPr>
          <w:rFonts w:hint="eastAsia" w:ascii="方正小标宋简体" w:hAnsi="方正小标宋简体" w:eastAsia="方正小标宋简体" w:cs="方正小标宋简体"/>
          <w:bCs/>
          <w:color w:val="000000"/>
          <w:sz w:val="32"/>
          <w:szCs w:val="32"/>
          <w:lang w:eastAsia="zh-CN"/>
        </w:rPr>
        <w:t>深圳市建筑工务署</w:t>
      </w:r>
      <w:r>
        <w:rPr>
          <w:rFonts w:hint="eastAsia" w:ascii="方正小标宋简体" w:hAnsi="方正小标宋简体" w:eastAsia="方正小标宋简体" w:cs="方正小标宋简体"/>
          <w:bCs/>
          <w:color w:val="000000"/>
          <w:sz w:val="32"/>
          <w:szCs w:val="32"/>
          <w:lang w:val="en-US" w:eastAsia="zh-CN"/>
        </w:rPr>
        <w:t>2026-2027年度常年</w:t>
      </w: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outlineLvl w:val="1"/>
        <w:rPr>
          <w:rFonts w:hint="eastAsia" w:ascii="方正小标宋简体" w:hAnsi="方正小标宋简体" w:eastAsia="方正小标宋简体" w:cs="方正小标宋简体"/>
          <w:b/>
          <w:bCs/>
          <w:color w:val="000000"/>
          <w:sz w:val="32"/>
          <w:szCs w:val="32"/>
          <w:lang w:val="en-US" w:eastAsia="zh-CN"/>
        </w:rPr>
      </w:pPr>
      <w:r>
        <w:rPr>
          <w:rFonts w:hint="eastAsia" w:ascii="方正小标宋简体" w:hAnsi="方正小标宋简体" w:eastAsia="方正小标宋简体" w:cs="方正小标宋简体"/>
          <w:bCs/>
          <w:color w:val="000000"/>
          <w:sz w:val="32"/>
          <w:szCs w:val="32"/>
          <w:lang w:eastAsia="zh-CN"/>
        </w:rPr>
        <w:t>法律顾问项目</w:t>
      </w:r>
      <w:bookmarkEnd w:id="1"/>
      <w:bookmarkEnd w:id="2"/>
      <w:bookmarkStart w:id="3" w:name="_Toc20304"/>
      <w:bookmarkStart w:id="4" w:name="_Toc24036279"/>
      <w:r>
        <w:rPr>
          <w:rFonts w:hint="eastAsia" w:ascii="方正小标宋简体" w:hAnsi="方正小标宋简体" w:eastAsia="方正小标宋简体" w:cs="方正小标宋简体"/>
          <w:bCs/>
          <w:color w:val="000000"/>
          <w:sz w:val="32"/>
          <w:szCs w:val="32"/>
          <w:lang w:eastAsia="zh-CN"/>
        </w:rPr>
        <w:t>合同主要条款</w:t>
      </w:r>
    </w:p>
    <w:bookmarkEnd w:id="3"/>
    <w:bookmarkEnd w:id="4"/>
    <w:p>
      <w:pPr>
        <w:widowControl/>
        <w:spacing w:line="560" w:lineRule="exact"/>
        <w:ind w:firstLine="480"/>
        <w:outlineLvl w:val="2"/>
        <w:rPr>
          <w:rFonts w:hint="eastAsia" w:ascii="宋体" w:hAnsi="宋体" w:eastAsia="宋体" w:cs="宋体"/>
          <w:b/>
          <w:bCs/>
          <w:color w:val="00000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黑体" w:hAnsi="黑体" w:eastAsia="黑体" w:cs="黑体"/>
          <w:b w:val="0"/>
          <w:bCs w:val="0"/>
          <w:color w:val="000000"/>
          <w:sz w:val="30"/>
          <w:szCs w:val="30"/>
          <w:lang w:eastAsia="zh-CN"/>
        </w:rPr>
      </w:pPr>
      <w:r>
        <w:rPr>
          <w:rFonts w:hint="eastAsia" w:ascii="黑体" w:hAnsi="黑体" w:eastAsia="黑体" w:cs="黑体"/>
          <w:b w:val="0"/>
          <w:bCs w:val="0"/>
          <w:color w:val="000000"/>
          <w:sz w:val="30"/>
          <w:szCs w:val="30"/>
          <w:lang w:eastAsia="zh-CN"/>
        </w:rPr>
        <w:t>一、服务内容</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协助</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快速高效处理</w:t>
      </w:r>
      <w:r>
        <w:rPr>
          <w:rFonts w:hint="eastAsia" w:ascii="仿宋_GB2312" w:hAnsi="仿宋_GB2312" w:eastAsia="仿宋_GB2312" w:cs="仿宋_GB2312"/>
          <w:color w:val="000000"/>
          <w:sz w:val="30"/>
          <w:szCs w:val="30"/>
          <w:lang w:eastAsia="zh-CN"/>
        </w:rPr>
        <w:t>各项</w:t>
      </w:r>
      <w:r>
        <w:rPr>
          <w:rFonts w:hint="eastAsia" w:ascii="仿宋_GB2312" w:hAnsi="仿宋_GB2312" w:eastAsia="仿宋_GB2312" w:cs="仿宋_GB2312"/>
          <w:color w:val="000000"/>
          <w:sz w:val="30"/>
          <w:szCs w:val="30"/>
        </w:rPr>
        <w:t>法律事务，确保重大事项决策依法合规，防控</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各项工作潜在的履职风险，结合</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工作实际，提供如下法律服务</w:t>
      </w:r>
      <w:r>
        <w:rPr>
          <w:rFonts w:hint="eastAsia" w:ascii="仿宋_GB2312" w:hAnsi="仿宋_GB2312" w:eastAsia="仿宋_GB2312" w:cs="仿宋_GB2312"/>
          <w:color w:val="000000"/>
          <w:sz w:val="30"/>
          <w:szCs w:val="30"/>
          <w:lang w:eastAsia="zh-CN"/>
        </w:rPr>
        <w:t>，包括但不限于</w:t>
      </w:r>
      <w:r>
        <w:rPr>
          <w:rFonts w:hint="eastAsia" w:ascii="仿宋_GB2312" w:hAnsi="仿宋_GB2312" w:eastAsia="仿宋_GB2312" w:cs="仿宋_GB2312"/>
          <w:color w:val="000000"/>
          <w:sz w:val="30"/>
          <w:szCs w:val="30"/>
        </w:rPr>
        <w:t>：</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（一）协助处理日常法律事务</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常年法律顾问应根据法律法规规定和自身在法律领域的丰富实践经验，结合</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实际，</w:t>
      </w:r>
      <w:r>
        <w:rPr>
          <w:rFonts w:hint="eastAsia" w:ascii="仿宋_GB2312" w:hAnsi="仿宋_GB2312" w:eastAsia="仿宋_GB2312" w:cs="仿宋_GB2312"/>
          <w:color w:val="000000"/>
          <w:sz w:val="30"/>
          <w:szCs w:val="30"/>
          <w:lang w:eastAsia="zh-CN"/>
        </w:rPr>
        <w:t>根据</w:t>
      </w:r>
      <w:r>
        <w:rPr>
          <w:rFonts w:hint="eastAsia" w:ascii="仿宋_GB2312" w:hAnsi="仿宋_GB2312" w:eastAsia="仿宋_GB2312" w:cs="仿宋_GB2312"/>
          <w:color w:val="000000"/>
          <w:sz w:val="30"/>
          <w:szCs w:val="30"/>
        </w:rPr>
        <w:t>招标人要求，协助</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处理日常法律事务，包括但不限于：</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一是</w:t>
      </w:r>
      <w:r>
        <w:rPr>
          <w:rFonts w:hint="eastAsia" w:ascii="仿宋_GB2312" w:hAnsi="仿宋_GB2312" w:eastAsia="仿宋_GB2312" w:cs="仿宋_GB2312"/>
          <w:color w:val="000000"/>
          <w:sz w:val="30"/>
          <w:szCs w:val="30"/>
        </w:rPr>
        <w:t>为</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日常工作中所涉及的法律问题，提供法律咨询；</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二是</w:t>
      </w:r>
      <w:r>
        <w:rPr>
          <w:rFonts w:hint="eastAsia" w:ascii="仿宋_GB2312" w:hAnsi="仿宋_GB2312" w:eastAsia="仿宋_GB2312" w:cs="仿宋_GB2312"/>
          <w:color w:val="000000"/>
          <w:sz w:val="30"/>
          <w:szCs w:val="30"/>
          <w:lang w:eastAsia="zh-CN"/>
        </w:rPr>
        <w:t>协助招标人</w:t>
      </w:r>
      <w:r>
        <w:rPr>
          <w:rFonts w:hint="eastAsia" w:ascii="仿宋_GB2312" w:hAnsi="仿宋_GB2312" w:eastAsia="仿宋_GB2312" w:cs="仿宋_GB2312"/>
          <w:color w:val="000000"/>
          <w:sz w:val="30"/>
          <w:szCs w:val="30"/>
        </w:rPr>
        <w:t>草拟、审查、修改有关法律事务文书，提出法律意见和建议；</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三是</w:t>
      </w:r>
      <w:r>
        <w:rPr>
          <w:rFonts w:hint="eastAsia" w:ascii="仿宋_GB2312" w:hAnsi="仿宋_GB2312" w:eastAsia="仿宋_GB2312" w:cs="仿宋_GB2312"/>
          <w:b w:val="0"/>
          <w:bCs w:val="0"/>
          <w:color w:val="000000"/>
          <w:sz w:val="30"/>
          <w:szCs w:val="30"/>
        </w:rPr>
        <w:t>招标人</w:t>
      </w:r>
      <w:r>
        <w:rPr>
          <w:rFonts w:hint="eastAsia" w:ascii="仿宋_GB2312" w:hAnsi="仿宋_GB2312" w:eastAsia="仿宋_GB2312" w:cs="仿宋_GB2312"/>
          <w:b w:val="0"/>
          <w:bCs w:val="0"/>
          <w:color w:val="000000"/>
          <w:sz w:val="30"/>
          <w:szCs w:val="30"/>
          <w:lang w:eastAsia="zh-CN"/>
        </w:rPr>
        <w:t>认为必要时，常年法律顾问应</w:t>
      </w:r>
      <w:r>
        <w:rPr>
          <w:rFonts w:hint="eastAsia" w:ascii="仿宋_GB2312" w:hAnsi="仿宋_GB2312" w:eastAsia="仿宋_GB2312" w:cs="仿宋_GB2312"/>
          <w:color w:val="000000"/>
          <w:sz w:val="30"/>
          <w:szCs w:val="30"/>
        </w:rPr>
        <w:t>协助草拟、审查、修改招标人内部规章制度和各类合同；</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四是</w:t>
      </w:r>
      <w:r>
        <w:rPr>
          <w:rFonts w:hint="eastAsia" w:ascii="仿宋_GB2312" w:hAnsi="仿宋_GB2312" w:eastAsia="仿宋_GB2312" w:cs="仿宋_GB2312"/>
          <w:b w:val="0"/>
          <w:bCs w:val="0"/>
          <w:color w:val="000000"/>
          <w:sz w:val="30"/>
          <w:szCs w:val="30"/>
        </w:rPr>
        <w:t>招标人</w:t>
      </w:r>
      <w:r>
        <w:rPr>
          <w:rFonts w:hint="eastAsia" w:ascii="仿宋_GB2312" w:hAnsi="仿宋_GB2312" w:eastAsia="仿宋_GB2312" w:cs="仿宋_GB2312"/>
          <w:b w:val="0"/>
          <w:bCs w:val="0"/>
          <w:color w:val="000000"/>
          <w:sz w:val="30"/>
          <w:szCs w:val="30"/>
          <w:lang w:eastAsia="zh-CN"/>
        </w:rPr>
        <w:t>认为必要时，常年法律顾问应</w:t>
      </w:r>
      <w:r>
        <w:rPr>
          <w:rFonts w:hint="eastAsia" w:ascii="仿宋_GB2312" w:hAnsi="仿宋_GB2312" w:eastAsia="仿宋_GB2312" w:cs="仿宋_GB2312"/>
          <w:color w:val="000000"/>
          <w:sz w:val="30"/>
          <w:szCs w:val="30"/>
        </w:rPr>
        <w:t>参与</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的约谈、谈判等事宜，</w:t>
      </w:r>
      <w:r>
        <w:rPr>
          <w:rFonts w:hint="eastAsia" w:ascii="仿宋_GB2312" w:hAnsi="仿宋_GB2312" w:eastAsia="仿宋_GB2312" w:cs="仿宋_GB2312"/>
          <w:color w:val="000000"/>
          <w:sz w:val="30"/>
          <w:szCs w:val="30"/>
          <w:lang w:eastAsia="zh-CN"/>
        </w:rPr>
        <w:t>协助</w:t>
      </w:r>
      <w:r>
        <w:rPr>
          <w:rFonts w:hint="eastAsia" w:ascii="仿宋_GB2312" w:hAnsi="仿宋_GB2312" w:eastAsia="仿宋_GB2312" w:cs="仿宋_GB2312"/>
          <w:color w:val="000000"/>
          <w:sz w:val="30"/>
          <w:szCs w:val="30"/>
        </w:rPr>
        <w:t>准备或审核相关资料，协助制定谈判方案，</w:t>
      </w:r>
      <w:r>
        <w:rPr>
          <w:rFonts w:hint="eastAsia" w:ascii="仿宋_GB2312" w:hAnsi="仿宋_GB2312" w:eastAsia="仿宋_GB2312" w:cs="仿宋_GB2312"/>
          <w:color w:val="000000"/>
          <w:sz w:val="30"/>
          <w:szCs w:val="30"/>
          <w:lang w:eastAsia="zh-CN"/>
        </w:rPr>
        <w:t>协助</w:t>
      </w:r>
      <w:r>
        <w:rPr>
          <w:rFonts w:hint="eastAsia" w:ascii="仿宋_GB2312" w:hAnsi="仿宋_GB2312" w:eastAsia="仿宋_GB2312" w:cs="仿宋_GB2312"/>
          <w:color w:val="000000"/>
          <w:sz w:val="30"/>
          <w:szCs w:val="30"/>
        </w:rPr>
        <w:t>草拟、审查、修改有关法律文书，提供法律建议和意见；</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五是</w:t>
      </w:r>
      <w:r>
        <w:rPr>
          <w:rFonts w:hint="eastAsia" w:ascii="仿宋_GB2312" w:hAnsi="仿宋_GB2312" w:eastAsia="仿宋_GB2312" w:cs="仿宋_GB2312"/>
          <w:color w:val="000000"/>
          <w:sz w:val="30"/>
          <w:szCs w:val="30"/>
        </w:rPr>
        <w:t>为</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重大事项决策提供法律分析论证报告和全过程的法律咨询；</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六是</w:t>
      </w:r>
      <w:r>
        <w:rPr>
          <w:rFonts w:hint="eastAsia" w:ascii="仿宋_GB2312" w:hAnsi="仿宋_GB2312" w:eastAsia="仿宋_GB2312" w:cs="仿宋_GB2312"/>
          <w:color w:val="000000"/>
          <w:sz w:val="30"/>
          <w:szCs w:val="30"/>
        </w:rPr>
        <w:t>协助</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草拟和发布有关声明、公告、致函等文书，根据</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需要，以法律顾问的名义对外签发律师函；</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b/>
          <w:bCs/>
          <w:color w:val="000000"/>
          <w:sz w:val="30"/>
          <w:szCs w:val="30"/>
        </w:rPr>
        <w:t>七是</w:t>
      </w:r>
      <w:r>
        <w:rPr>
          <w:rFonts w:hint="eastAsia" w:ascii="仿宋_GB2312" w:hAnsi="仿宋_GB2312" w:eastAsia="仿宋_GB2312" w:cs="仿宋_GB2312"/>
          <w:color w:val="000000"/>
          <w:sz w:val="30"/>
          <w:szCs w:val="30"/>
        </w:rPr>
        <w:t>参与处理</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尚未形成诉讼或仲裁的民事争议或其他纠纷，参加案件讨论会等，提出法律分析意见和建议，协助</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进行必要的调解、和解工作；</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lang w:eastAsia="zh-CN"/>
        </w:rPr>
      </w:pPr>
      <w:r>
        <w:rPr>
          <w:rFonts w:hint="eastAsia" w:ascii="仿宋_GB2312" w:hAnsi="仿宋_GB2312" w:eastAsia="仿宋_GB2312" w:cs="仿宋_GB2312"/>
          <w:b/>
          <w:bCs/>
          <w:color w:val="000000"/>
          <w:sz w:val="30"/>
          <w:szCs w:val="30"/>
        </w:rPr>
        <w:t>八是</w:t>
      </w:r>
      <w:r>
        <w:rPr>
          <w:rFonts w:hint="eastAsia" w:ascii="仿宋_GB2312" w:hAnsi="仿宋_GB2312" w:eastAsia="仿宋_GB2312" w:cs="仿宋_GB2312"/>
          <w:color w:val="000000"/>
          <w:sz w:val="30"/>
          <w:szCs w:val="30"/>
        </w:rPr>
        <w:t>协助</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根据国家省市政策法规及署内制度要求完成公平竞争审查相关工作</w:t>
      </w:r>
      <w:r>
        <w:rPr>
          <w:rFonts w:hint="eastAsia" w:ascii="仿宋_GB2312" w:hAnsi="仿宋_GB2312" w:eastAsia="仿宋_GB2312" w:cs="仿宋_GB2312"/>
          <w:color w:val="000000"/>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000000"/>
          <w:sz w:val="30"/>
          <w:szCs w:val="30"/>
          <w:lang w:val="en-US" w:eastAsia="zh-CN"/>
        </w:rPr>
      </w:pPr>
      <w:r>
        <w:rPr>
          <w:rFonts w:hint="eastAsia" w:ascii="楷体_GB2312" w:hAnsi="楷体_GB2312" w:eastAsia="楷体_GB2312" w:cs="楷体_GB2312"/>
          <w:color w:val="000000"/>
          <w:sz w:val="30"/>
          <w:szCs w:val="30"/>
          <w:lang w:val="en-US" w:eastAsia="zh-CN"/>
        </w:rPr>
        <w:t>（二）开展法律知识培训</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根据招标人实际需求，积极主动向招标人提供与业务活动相关的法律、法规及有关政策文件解读，为招标人干部职工提供法律培训，协助招标人开展法治宣传教育，提高招标人干部职工的法律素养。根据招标人要求，负责联系与招标人各项业务领域有关实务专家、学者教授等为招标人提供法律知识讲座，法律知识讲座所需费用包含在本合同价款内。</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000000"/>
          <w:sz w:val="30"/>
          <w:szCs w:val="30"/>
          <w:lang w:val="en-US" w:eastAsia="zh-CN"/>
        </w:rPr>
      </w:pPr>
      <w:r>
        <w:rPr>
          <w:rFonts w:hint="eastAsia" w:ascii="楷体_GB2312" w:hAnsi="楷体_GB2312" w:eastAsia="楷体_GB2312" w:cs="楷体_GB2312"/>
          <w:color w:val="000000"/>
          <w:sz w:val="30"/>
          <w:szCs w:val="30"/>
          <w:lang w:val="en-US" w:eastAsia="zh-CN"/>
        </w:rPr>
        <w:t>（三）协助信访与矛盾纠纷化解</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为招标人信访事项处理提供全程法律支持，具体包括但不限于为信访事项出具书面法律意见，引导信访人依法维权；参与信访事项处理专题会议，提供法律咨询意见；对信访事项回复文件和相关解纷协议进行法律指导和把关；协助完成与信访事项相关的其他法律事务。</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000000"/>
          <w:sz w:val="30"/>
          <w:szCs w:val="30"/>
          <w:lang w:val="en-US" w:eastAsia="zh-CN"/>
        </w:rPr>
      </w:pPr>
      <w:r>
        <w:rPr>
          <w:rFonts w:hint="eastAsia" w:ascii="楷体_GB2312" w:hAnsi="楷体_GB2312" w:eastAsia="楷体_GB2312" w:cs="楷体_GB2312"/>
          <w:color w:val="000000"/>
          <w:sz w:val="30"/>
          <w:szCs w:val="30"/>
          <w:lang w:val="en-US" w:eastAsia="zh-CN"/>
        </w:rPr>
        <w:t>（四）突发事件应急处置</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参与和招标人相关的突发事件应急处置工作，提供全程法律支持，降低舆情和法律风险。</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000000"/>
          <w:sz w:val="30"/>
          <w:szCs w:val="30"/>
          <w:lang w:val="en-US" w:eastAsia="zh-CN"/>
        </w:rPr>
      </w:pPr>
      <w:r>
        <w:rPr>
          <w:rFonts w:hint="eastAsia" w:ascii="楷体_GB2312" w:hAnsi="楷体_GB2312" w:eastAsia="楷体_GB2312" w:cs="楷体_GB2312"/>
          <w:color w:val="000000"/>
          <w:sz w:val="30"/>
          <w:szCs w:val="30"/>
          <w:lang w:val="en-US" w:eastAsia="zh-CN"/>
        </w:rPr>
        <w:t>（五）健全法律风险防控机制</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投标人作为招标人的常年法律顾问应深入了解和熟悉招标人的日常工作和管理事务特点，积极主动为招标人工作事务决策进行法律风险提示，提出解决方案或建议报告，有效防控招标人法律风险。同时，投标人作为常年法律顾问应对招标人的日常法律事务处理和重大事项决策机制提出改进优化措施和合理化建议，进一步健全招标人风险防控机制。</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黑体" w:hAnsi="黑体" w:eastAsia="黑体" w:cs="黑体"/>
          <w:color w:val="000000"/>
          <w:sz w:val="30"/>
          <w:szCs w:val="30"/>
          <w:lang w:val="en-US" w:eastAsia="zh-CN"/>
        </w:rPr>
      </w:pPr>
      <w:r>
        <w:rPr>
          <w:rFonts w:hint="eastAsia" w:ascii="黑体" w:hAnsi="黑体" w:eastAsia="黑体" w:cs="黑体"/>
          <w:color w:val="000000"/>
          <w:sz w:val="30"/>
          <w:szCs w:val="30"/>
          <w:lang w:val="en-US" w:eastAsia="zh-CN"/>
        </w:rPr>
        <w:t>二、专项法律服务</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涉法律诉讼、仲裁等专项法律服务由双方在依法合规前提下另行签订法律服务合同，所需费用由招标人另行支付。同时，招标人亦有权委托其他机构实施上述专项法律服务。</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outlineLvl w:val="2"/>
        <w:rPr>
          <w:rFonts w:hint="eastAsia" w:ascii="黑体" w:hAnsi="黑体" w:eastAsia="黑体" w:cs="黑体"/>
          <w:b w:val="0"/>
          <w:bCs w:val="0"/>
          <w:color w:val="000000"/>
          <w:sz w:val="30"/>
          <w:szCs w:val="30"/>
        </w:rPr>
      </w:pPr>
      <w:bookmarkStart w:id="5" w:name="_Toc9825"/>
      <w:bookmarkStart w:id="6" w:name="_Toc24036281"/>
      <w:r>
        <w:rPr>
          <w:rFonts w:hint="eastAsia" w:ascii="黑体" w:hAnsi="黑体" w:eastAsia="黑体" w:cs="黑体"/>
          <w:b w:val="0"/>
          <w:bCs w:val="0"/>
          <w:color w:val="000000"/>
          <w:sz w:val="30"/>
          <w:szCs w:val="30"/>
          <w:lang w:eastAsia="zh-CN"/>
        </w:rPr>
        <w:t>三、</w:t>
      </w:r>
      <w:r>
        <w:rPr>
          <w:rFonts w:hint="eastAsia" w:ascii="黑体" w:hAnsi="黑体" w:eastAsia="黑体" w:cs="黑体"/>
          <w:b w:val="0"/>
          <w:bCs w:val="0"/>
          <w:color w:val="000000"/>
          <w:sz w:val="30"/>
          <w:szCs w:val="30"/>
        </w:rPr>
        <w:t>服务响应时间要求</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1.</w:t>
      </w:r>
      <w:r>
        <w:rPr>
          <w:rFonts w:hint="eastAsia" w:ascii="仿宋_GB2312" w:hAnsi="仿宋_GB2312" w:eastAsia="仿宋_GB2312" w:cs="仿宋_GB2312"/>
          <w:color w:val="000000"/>
          <w:sz w:val="30"/>
          <w:szCs w:val="30"/>
          <w:lang w:eastAsia="zh-CN"/>
        </w:rPr>
        <w:t>投标人</w:t>
      </w:r>
      <w:r>
        <w:rPr>
          <w:rFonts w:hint="eastAsia" w:ascii="仿宋_GB2312" w:hAnsi="仿宋_GB2312" w:eastAsia="仿宋_GB2312" w:cs="仿宋_GB2312"/>
          <w:color w:val="000000"/>
          <w:sz w:val="30"/>
          <w:szCs w:val="30"/>
        </w:rPr>
        <w:t>须提供常设每周7天×24小时服务专线，</w:t>
      </w:r>
      <w:r>
        <w:rPr>
          <w:rFonts w:hint="eastAsia" w:ascii="仿宋_GB2312" w:hAnsi="仿宋_GB2312" w:eastAsia="仿宋_GB2312" w:cs="仿宋_GB2312"/>
          <w:color w:val="000000"/>
          <w:sz w:val="30"/>
          <w:szCs w:val="30"/>
          <w:lang w:eastAsia="zh-CN"/>
        </w:rPr>
        <w:t>招标人在工作时间</w:t>
      </w:r>
      <w:r>
        <w:rPr>
          <w:rFonts w:hint="eastAsia" w:ascii="仿宋_GB2312" w:hAnsi="仿宋_GB2312" w:eastAsia="仿宋_GB2312" w:cs="仿宋_GB2312"/>
          <w:color w:val="000000"/>
          <w:sz w:val="30"/>
          <w:szCs w:val="30"/>
        </w:rPr>
        <w:t>可随时与本项目服务律师联系，咨询法律</w:t>
      </w:r>
      <w:r>
        <w:rPr>
          <w:rFonts w:hint="eastAsia" w:ascii="仿宋_GB2312" w:hAnsi="仿宋_GB2312" w:eastAsia="仿宋_GB2312" w:cs="仿宋_GB2312"/>
          <w:color w:val="000000"/>
          <w:sz w:val="30"/>
          <w:szCs w:val="30"/>
          <w:lang w:eastAsia="zh-CN"/>
        </w:rPr>
        <w:t>事务。</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lang w:eastAsia="zh-CN"/>
        </w:rPr>
      </w:pPr>
      <w:r>
        <w:rPr>
          <w:rFonts w:hint="eastAsia" w:ascii="仿宋_GB2312" w:hAnsi="仿宋_GB2312" w:eastAsia="仿宋_GB2312" w:cs="仿宋_GB2312"/>
          <w:color w:val="000000"/>
          <w:sz w:val="30"/>
          <w:szCs w:val="30"/>
          <w:lang w:val="en-US" w:eastAsia="zh-CN"/>
        </w:rPr>
        <w:t>2.</w:t>
      </w:r>
      <w:r>
        <w:rPr>
          <w:rFonts w:hint="eastAsia" w:ascii="仿宋_GB2312" w:hAnsi="仿宋_GB2312" w:eastAsia="仿宋_GB2312" w:cs="仿宋_GB2312"/>
          <w:color w:val="000000"/>
          <w:sz w:val="30"/>
          <w:szCs w:val="30"/>
          <w:lang w:eastAsia="zh-CN"/>
        </w:rPr>
        <w:t>投标人</w:t>
      </w:r>
      <w:r>
        <w:rPr>
          <w:rFonts w:hint="eastAsia" w:ascii="仿宋_GB2312" w:hAnsi="仿宋_GB2312" w:eastAsia="仿宋_GB2312" w:cs="仿宋_GB2312"/>
          <w:color w:val="000000"/>
          <w:sz w:val="30"/>
          <w:szCs w:val="30"/>
        </w:rPr>
        <w:t>向</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提供法律信息应主动、及时、完整、准确</w:t>
      </w:r>
      <w:r>
        <w:rPr>
          <w:rFonts w:hint="eastAsia" w:ascii="仿宋_GB2312" w:hAnsi="仿宋_GB2312" w:eastAsia="仿宋_GB2312" w:cs="仿宋_GB2312"/>
          <w:color w:val="000000"/>
          <w:sz w:val="30"/>
          <w:szCs w:val="30"/>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lang w:eastAsia="zh-CN"/>
        </w:rPr>
      </w:pPr>
      <w:r>
        <w:rPr>
          <w:rFonts w:hint="eastAsia" w:ascii="仿宋_GB2312" w:hAnsi="仿宋_GB2312" w:eastAsia="仿宋_GB2312" w:cs="仿宋_GB2312"/>
          <w:color w:val="000000"/>
          <w:sz w:val="30"/>
          <w:szCs w:val="30"/>
          <w:lang w:val="en-US" w:eastAsia="zh-CN"/>
        </w:rPr>
        <w:t>3.</w:t>
      </w:r>
      <w:r>
        <w:rPr>
          <w:rFonts w:hint="eastAsia" w:ascii="仿宋_GB2312" w:hAnsi="仿宋_GB2312" w:eastAsia="仿宋_GB2312" w:cs="仿宋_GB2312"/>
          <w:color w:val="000000"/>
          <w:sz w:val="30"/>
          <w:szCs w:val="30"/>
        </w:rPr>
        <w:t>对</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的服务通知，项目服务律师需在接报后立即响应</w:t>
      </w:r>
      <w:r>
        <w:rPr>
          <w:rFonts w:hint="eastAsia" w:ascii="仿宋_GB2312" w:hAnsi="仿宋_GB2312" w:eastAsia="仿宋_GB2312" w:cs="仿宋_GB2312"/>
          <w:color w:val="000000"/>
          <w:sz w:val="30"/>
          <w:szCs w:val="30"/>
          <w:lang w:eastAsia="zh-CN"/>
        </w:rPr>
        <w:t>，具体要求如下：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①可以即时解答的</w:t>
      </w:r>
      <w:r>
        <w:rPr>
          <w:rFonts w:hint="eastAsia" w:ascii="仿宋_GB2312" w:hAnsi="仿宋_GB2312" w:eastAsia="仿宋_GB2312" w:cs="仿宋_GB2312"/>
          <w:color w:val="000000"/>
          <w:sz w:val="30"/>
          <w:szCs w:val="30"/>
          <w:lang w:eastAsia="zh-CN"/>
        </w:rPr>
        <w:t>应</w:t>
      </w:r>
      <w:r>
        <w:rPr>
          <w:rFonts w:hint="eastAsia" w:ascii="仿宋_GB2312" w:hAnsi="仿宋_GB2312" w:eastAsia="仿宋_GB2312" w:cs="仿宋_GB2312"/>
          <w:color w:val="000000"/>
          <w:sz w:val="30"/>
          <w:szCs w:val="30"/>
        </w:rPr>
        <w:t>即时解答，不能即时解答且时间紧急的必须按</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要求时间及时解答，其他情况下原则上应在接报后一个工作日内解答；</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②如</w:t>
      </w:r>
      <w:r>
        <w:rPr>
          <w:rFonts w:hint="eastAsia" w:ascii="仿宋_GB2312" w:hAnsi="仿宋_GB2312" w:eastAsia="仿宋_GB2312" w:cs="仿宋_GB2312"/>
          <w:color w:val="000000"/>
          <w:sz w:val="30"/>
          <w:szCs w:val="30"/>
          <w:lang w:eastAsia="zh-CN"/>
        </w:rPr>
        <w:t>现场服务</w:t>
      </w:r>
      <w:r>
        <w:rPr>
          <w:rFonts w:hint="eastAsia" w:ascii="仿宋_GB2312" w:hAnsi="仿宋_GB2312" w:eastAsia="仿宋_GB2312" w:cs="仿宋_GB2312"/>
          <w:color w:val="000000"/>
          <w:sz w:val="30"/>
          <w:szCs w:val="30"/>
        </w:rPr>
        <w:t>人员无法胜任，需</w:t>
      </w:r>
      <w:r>
        <w:rPr>
          <w:rFonts w:hint="eastAsia" w:ascii="仿宋_GB2312" w:hAnsi="仿宋_GB2312" w:eastAsia="仿宋_GB2312" w:cs="仿宋_GB2312"/>
          <w:color w:val="000000"/>
          <w:sz w:val="30"/>
          <w:szCs w:val="30"/>
          <w:lang w:eastAsia="zh-CN"/>
        </w:rPr>
        <w:t>项目负责人或主办</w:t>
      </w:r>
      <w:r>
        <w:rPr>
          <w:rFonts w:hint="eastAsia" w:ascii="仿宋_GB2312" w:hAnsi="仿宋_GB2312" w:eastAsia="仿宋_GB2312" w:cs="仿宋_GB2312"/>
          <w:color w:val="000000"/>
          <w:sz w:val="30"/>
          <w:szCs w:val="30"/>
        </w:rPr>
        <w:t>律师现场服务的，应按</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的服务时间要求提前10分钟到达现场；</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③需要提供书面咨询意见、咨询成果资料或出具书面法律意见、报告及其他法律文书的，应在接报后</w:t>
      </w:r>
      <w:r>
        <w:rPr>
          <w:rFonts w:hint="eastAsia" w:ascii="仿宋_GB2312" w:hAnsi="仿宋_GB2312" w:eastAsia="仿宋_GB2312" w:cs="仿宋_GB2312"/>
          <w:color w:val="000000"/>
          <w:sz w:val="30"/>
          <w:szCs w:val="30"/>
          <w:lang w:eastAsia="zh-CN"/>
        </w:rPr>
        <w:t>不超过三</w:t>
      </w:r>
      <w:r>
        <w:rPr>
          <w:rFonts w:hint="eastAsia" w:ascii="仿宋_GB2312" w:hAnsi="仿宋_GB2312" w:eastAsia="仿宋_GB2312" w:cs="仿宋_GB2312"/>
          <w:color w:val="000000"/>
          <w:sz w:val="30"/>
          <w:szCs w:val="30"/>
        </w:rPr>
        <w:t>个工作日内完成并提交</w:t>
      </w:r>
      <w:r>
        <w:rPr>
          <w:rFonts w:hint="eastAsia" w:ascii="仿宋_GB2312" w:hAnsi="仿宋_GB2312" w:eastAsia="仿宋_GB2312" w:cs="仿宋_GB2312"/>
          <w:color w:val="000000"/>
          <w:sz w:val="30"/>
          <w:szCs w:val="30"/>
          <w:lang w:eastAsia="zh-CN"/>
        </w:rPr>
        <w:t>招标人。</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4.</w:t>
      </w:r>
      <w:r>
        <w:rPr>
          <w:rFonts w:hint="eastAsia" w:ascii="仿宋_GB2312" w:hAnsi="仿宋_GB2312" w:eastAsia="仿宋_GB2312" w:cs="仿宋_GB2312"/>
          <w:color w:val="000000"/>
          <w:sz w:val="30"/>
          <w:szCs w:val="30"/>
        </w:rPr>
        <w:t>情况紧急的，</w:t>
      </w:r>
      <w:r>
        <w:rPr>
          <w:rFonts w:hint="eastAsia" w:ascii="仿宋_GB2312" w:hAnsi="仿宋_GB2312" w:eastAsia="仿宋_GB2312" w:cs="仿宋_GB2312"/>
          <w:color w:val="000000"/>
          <w:sz w:val="30"/>
          <w:szCs w:val="30"/>
          <w:lang w:eastAsia="zh-CN"/>
        </w:rPr>
        <w:t>本项目</w:t>
      </w:r>
      <w:r>
        <w:rPr>
          <w:rFonts w:hint="eastAsia" w:ascii="仿宋_GB2312" w:hAnsi="仿宋_GB2312" w:eastAsia="仿宋_GB2312" w:cs="仿宋_GB2312"/>
          <w:color w:val="000000"/>
          <w:sz w:val="30"/>
          <w:szCs w:val="30"/>
        </w:rPr>
        <w:t>服务律师应积极配合</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的需求根据工作实际及时完成</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交办的事务。</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5.</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有权要求</w:t>
      </w:r>
      <w:r>
        <w:rPr>
          <w:rFonts w:hint="eastAsia" w:ascii="仿宋_GB2312" w:hAnsi="仿宋_GB2312" w:eastAsia="仿宋_GB2312" w:cs="仿宋_GB2312"/>
          <w:color w:val="000000"/>
          <w:sz w:val="30"/>
          <w:szCs w:val="30"/>
          <w:lang w:eastAsia="zh-CN"/>
        </w:rPr>
        <w:t>投标人</w:t>
      </w:r>
      <w:r>
        <w:rPr>
          <w:rFonts w:hint="eastAsia" w:ascii="仿宋_GB2312" w:hAnsi="仿宋_GB2312" w:eastAsia="仿宋_GB2312" w:cs="仿宋_GB2312"/>
          <w:color w:val="000000"/>
          <w:sz w:val="30"/>
          <w:szCs w:val="30"/>
        </w:rPr>
        <w:t>通报工作进程。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lang w:val="en-US" w:eastAsia="zh-CN"/>
        </w:rPr>
        <w:t>6.</w:t>
      </w:r>
      <w:r>
        <w:rPr>
          <w:rFonts w:hint="eastAsia" w:ascii="仿宋_GB2312" w:hAnsi="仿宋_GB2312" w:eastAsia="仿宋_GB2312" w:cs="仿宋_GB2312"/>
          <w:color w:val="000000"/>
          <w:sz w:val="30"/>
          <w:szCs w:val="30"/>
        </w:rPr>
        <w:t>在</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业务活动中，遇有重大或突发法律事件出现时，</w:t>
      </w:r>
      <w:r>
        <w:rPr>
          <w:rFonts w:hint="eastAsia" w:ascii="仿宋_GB2312" w:hAnsi="仿宋_GB2312" w:eastAsia="仿宋_GB2312" w:cs="仿宋_GB2312"/>
          <w:color w:val="000000"/>
          <w:sz w:val="30"/>
          <w:szCs w:val="30"/>
          <w:lang w:eastAsia="zh-CN"/>
        </w:rPr>
        <w:t>投标人</w:t>
      </w:r>
      <w:r>
        <w:rPr>
          <w:rFonts w:hint="eastAsia" w:ascii="仿宋_GB2312" w:hAnsi="仿宋_GB2312" w:eastAsia="仿宋_GB2312" w:cs="仿宋_GB2312"/>
          <w:color w:val="000000"/>
          <w:sz w:val="30"/>
          <w:szCs w:val="30"/>
        </w:rPr>
        <w:t>应根据通知保证</w:t>
      </w:r>
      <w:r>
        <w:rPr>
          <w:rFonts w:hint="eastAsia" w:ascii="仿宋_GB2312" w:hAnsi="仿宋_GB2312" w:eastAsia="仿宋_GB2312" w:cs="仿宋_GB2312"/>
          <w:color w:val="000000"/>
          <w:sz w:val="30"/>
          <w:szCs w:val="30"/>
          <w:lang w:eastAsia="zh-CN"/>
        </w:rPr>
        <w:t>指</w:t>
      </w:r>
      <w:r>
        <w:rPr>
          <w:rFonts w:hint="eastAsia" w:ascii="仿宋_GB2312" w:hAnsi="仿宋_GB2312" w:eastAsia="仿宋_GB2312" w:cs="仿宋_GB2312"/>
          <w:color w:val="000000"/>
          <w:sz w:val="30"/>
          <w:szCs w:val="30"/>
        </w:rPr>
        <w:t>派律师到场，</w:t>
      </w:r>
      <w:r>
        <w:rPr>
          <w:rFonts w:hint="eastAsia" w:ascii="仿宋_GB2312" w:hAnsi="仿宋_GB2312" w:eastAsia="仿宋_GB2312" w:cs="仿宋_GB2312"/>
          <w:color w:val="000000"/>
          <w:sz w:val="30"/>
          <w:szCs w:val="30"/>
          <w:lang w:eastAsia="zh-CN"/>
        </w:rPr>
        <w:t>协助</w:t>
      </w:r>
      <w:r>
        <w:rPr>
          <w:rFonts w:hint="eastAsia" w:ascii="仿宋_GB2312" w:hAnsi="仿宋_GB2312" w:eastAsia="仿宋_GB2312" w:cs="仿宋_GB2312"/>
          <w:color w:val="000000"/>
          <w:sz w:val="30"/>
          <w:szCs w:val="30"/>
        </w:rPr>
        <w:t>处理有关事务。</w:t>
      </w:r>
    </w:p>
    <w:bookmarkEnd w:id="5"/>
    <w:bookmarkEnd w:id="6"/>
    <w:p>
      <w:pPr>
        <w:keepNext w:val="0"/>
        <w:keepLines w:val="0"/>
        <w:pageBreakBefore w:val="0"/>
        <w:widowControl/>
        <w:kinsoku/>
        <w:wordWrap/>
        <w:overflowPunct/>
        <w:topLinePunct w:val="0"/>
        <w:autoSpaceDE/>
        <w:autoSpaceDN/>
        <w:bidi w:val="0"/>
        <w:adjustRightInd w:val="0"/>
        <w:snapToGrid w:val="0"/>
        <w:spacing w:line="560" w:lineRule="exact"/>
        <w:ind w:firstLine="600" w:firstLineChars="200"/>
        <w:textAlignment w:val="auto"/>
        <w:outlineLvl w:val="1"/>
        <w:rPr>
          <w:rFonts w:hint="eastAsia" w:ascii="黑体" w:hAnsi="黑体" w:eastAsia="黑体" w:cs="黑体"/>
          <w:b w:val="0"/>
          <w:bCs/>
          <w:color w:val="000000"/>
          <w:sz w:val="30"/>
          <w:szCs w:val="30"/>
        </w:rPr>
      </w:pPr>
      <w:bookmarkStart w:id="7" w:name="_Toc3099"/>
      <w:bookmarkStart w:id="8" w:name="_Toc24036282"/>
      <w:r>
        <w:rPr>
          <w:rFonts w:hint="eastAsia" w:ascii="黑体" w:hAnsi="黑体" w:eastAsia="黑体" w:cs="黑体"/>
          <w:b w:val="0"/>
          <w:bCs/>
          <w:color w:val="000000"/>
          <w:sz w:val="30"/>
          <w:szCs w:val="30"/>
          <w:lang w:eastAsia="zh-CN"/>
        </w:rPr>
        <w:t>四、</w:t>
      </w:r>
      <w:r>
        <w:rPr>
          <w:rFonts w:hint="eastAsia" w:ascii="黑体" w:hAnsi="黑体" w:eastAsia="黑体" w:cs="黑体"/>
          <w:b w:val="0"/>
          <w:bCs/>
          <w:color w:val="000000"/>
          <w:sz w:val="30"/>
          <w:szCs w:val="30"/>
        </w:rPr>
        <w:t>服务期限</w:t>
      </w:r>
      <w:bookmarkEnd w:id="7"/>
      <w:bookmarkEnd w:id="8"/>
    </w:p>
    <w:p>
      <w:pPr>
        <w:keepNext w:val="0"/>
        <w:keepLines w:val="0"/>
        <w:pageBreakBefore w:val="0"/>
        <w:kinsoku/>
        <w:wordWrap/>
        <w:overflowPunct/>
        <w:topLinePunct w:val="0"/>
        <w:autoSpaceDE/>
        <w:autoSpaceDN/>
        <w:bidi w:val="0"/>
        <w:adjustRightInd w:val="0"/>
        <w:snapToGrid w:val="0"/>
        <w:spacing w:line="560" w:lineRule="exact"/>
        <w:ind w:firstLine="600" w:firstLineChars="20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本项目服务期</w:t>
      </w:r>
      <w:r>
        <w:rPr>
          <w:rFonts w:hint="eastAsia" w:ascii="仿宋_GB2312" w:hAnsi="仿宋_GB2312" w:eastAsia="仿宋_GB2312" w:cs="仿宋_GB2312"/>
          <w:color w:val="000000"/>
          <w:sz w:val="30"/>
          <w:szCs w:val="30"/>
          <w:lang w:eastAsia="zh-CN"/>
        </w:rPr>
        <w:t>自合同生效之日起</w:t>
      </w:r>
      <w:r>
        <w:rPr>
          <w:rFonts w:hint="eastAsia" w:ascii="仿宋_GB2312" w:hAnsi="仿宋_GB2312" w:eastAsia="仿宋_GB2312" w:cs="仿宋_GB2312"/>
          <w:color w:val="000000"/>
          <w:sz w:val="30"/>
          <w:szCs w:val="30"/>
          <w:lang w:val="en-US" w:eastAsia="zh-CN"/>
        </w:rPr>
        <w:t>1</w:t>
      </w:r>
      <w:r>
        <w:rPr>
          <w:rFonts w:hint="eastAsia" w:ascii="仿宋_GB2312" w:hAnsi="仿宋_GB2312" w:eastAsia="仿宋_GB2312" w:cs="仿宋_GB2312"/>
          <w:color w:val="000000"/>
          <w:sz w:val="30"/>
          <w:szCs w:val="30"/>
        </w:rPr>
        <w:t>年。本项目为长期服务项目，为了保证法律服务的连续性和质量，中标单位</w:t>
      </w:r>
      <w:r>
        <w:rPr>
          <w:rFonts w:hint="eastAsia" w:ascii="仿宋_GB2312" w:hAnsi="仿宋_GB2312" w:eastAsia="仿宋_GB2312" w:cs="仿宋_GB2312"/>
          <w:color w:val="000000"/>
          <w:sz w:val="30"/>
          <w:szCs w:val="30"/>
          <w:lang w:eastAsia="zh-CN"/>
        </w:rPr>
        <w:t>单个</w:t>
      </w:r>
      <w:r>
        <w:rPr>
          <w:rFonts w:hint="eastAsia" w:ascii="仿宋_GB2312" w:hAnsi="仿宋_GB2312" w:eastAsia="仿宋_GB2312" w:cs="仿宋_GB2312"/>
          <w:color w:val="000000"/>
          <w:sz w:val="30"/>
          <w:szCs w:val="30"/>
        </w:rPr>
        <w:t>合同服务期内前三个季度履约评价为良好及以上可向</w:t>
      </w:r>
      <w:r>
        <w:rPr>
          <w:rFonts w:hint="eastAsia" w:ascii="仿宋_GB2312" w:hAnsi="仿宋_GB2312" w:eastAsia="仿宋_GB2312" w:cs="仿宋_GB2312"/>
          <w:color w:val="000000"/>
          <w:sz w:val="30"/>
          <w:szCs w:val="30"/>
          <w:lang w:eastAsia="zh-CN"/>
        </w:rPr>
        <w:t>招标人</w:t>
      </w:r>
      <w:r>
        <w:rPr>
          <w:rFonts w:hint="eastAsia" w:ascii="仿宋_GB2312" w:hAnsi="仿宋_GB2312" w:eastAsia="仿宋_GB2312" w:cs="仿宋_GB2312"/>
          <w:color w:val="000000"/>
          <w:sz w:val="30"/>
          <w:szCs w:val="30"/>
        </w:rPr>
        <w:t>申请续签合同，每次续签合同服务期不超过一年，续签次数不超过两次，合同实质性条款不得改变。</w:t>
      </w:r>
    </w:p>
    <w:p>
      <w:pPr>
        <w:keepNext w:val="0"/>
        <w:keepLines w:val="0"/>
        <w:pageBreakBefore w:val="0"/>
        <w:widowControl/>
        <w:kinsoku/>
        <w:wordWrap/>
        <w:overflowPunct/>
        <w:topLinePunct w:val="0"/>
        <w:autoSpaceDE/>
        <w:autoSpaceDN/>
        <w:bidi w:val="0"/>
        <w:adjustRightInd w:val="0"/>
        <w:snapToGrid w:val="0"/>
        <w:spacing w:line="560" w:lineRule="exact"/>
        <w:ind w:firstLine="560"/>
        <w:textAlignment w:val="auto"/>
        <w:outlineLvl w:val="1"/>
        <w:rPr>
          <w:rFonts w:hint="eastAsia" w:ascii="黑体" w:hAnsi="黑体" w:eastAsia="黑体" w:cs="黑体"/>
          <w:b w:val="0"/>
          <w:bCs/>
          <w:color w:val="000000"/>
          <w:sz w:val="30"/>
          <w:szCs w:val="30"/>
        </w:rPr>
      </w:pPr>
      <w:bookmarkStart w:id="9" w:name="_Toc30246"/>
      <w:bookmarkStart w:id="10" w:name="_Toc24036284"/>
      <w:bookmarkStart w:id="11" w:name="_Hlk5549334"/>
      <w:r>
        <w:rPr>
          <w:rFonts w:hint="eastAsia" w:ascii="黑体" w:hAnsi="黑体" w:eastAsia="黑体" w:cs="黑体"/>
          <w:b w:val="0"/>
          <w:bCs/>
          <w:color w:val="000000"/>
          <w:sz w:val="30"/>
          <w:szCs w:val="30"/>
          <w:lang w:eastAsia="zh-CN"/>
        </w:rPr>
        <w:t>五、合同价款</w:t>
      </w:r>
      <w:r>
        <w:rPr>
          <w:rFonts w:hint="eastAsia" w:ascii="黑体" w:hAnsi="黑体" w:eastAsia="黑体" w:cs="黑体"/>
          <w:b w:val="0"/>
          <w:bCs/>
          <w:color w:val="000000"/>
          <w:sz w:val="30"/>
          <w:szCs w:val="30"/>
        </w:rPr>
        <w:t>及支付</w:t>
      </w:r>
      <w:bookmarkEnd w:id="9"/>
      <w:bookmarkEnd w:id="10"/>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b/>
          <w:bCs/>
          <w:color w:val="000000"/>
          <w:sz w:val="30"/>
          <w:szCs w:val="30"/>
          <w:lang w:eastAsia="zh-CN"/>
        </w:rPr>
      </w:pPr>
      <w:r>
        <w:rPr>
          <w:rFonts w:hint="eastAsia" w:ascii="仿宋_GB2312" w:hAnsi="仿宋_GB2312" w:eastAsia="仿宋_GB2312" w:cs="仿宋_GB2312"/>
          <w:b/>
          <w:bCs/>
          <w:color w:val="000000"/>
          <w:sz w:val="30"/>
          <w:szCs w:val="30"/>
        </w:rPr>
        <w:t>1.</w:t>
      </w:r>
      <w:r>
        <w:rPr>
          <w:rFonts w:hint="eastAsia" w:ascii="仿宋_GB2312" w:hAnsi="仿宋_GB2312" w:eastAsia="仿宋_GB2312" w:cs="仿宋_GB2312"/>
          <w:b/>
          <w:bCs/>
          <w:color w:val="000000"/>
          <w:sz w:val="30"/>
          <w:szCs w:val="30"/>
          <w:lang w:eastAsia="zh-CN"/>
        </w:rPr>
        <w:t>合同价款</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本合同项下总价款为</w:t>
      </w:r>
      <w:bookmarkStart w:id="12" w:name="_Hlk8848131"/>
      <w:bookmarkStart w:id="13" w:name="_Hlk6251000"/>
      <w:r>
        <w:rPr>
          <w:rFonts w:hint="eastAsia" w:ascii="仿宋_GB2312" w:hAnsi="仿宋_GB2312" w:eastAsia="仿宋_GB2312" w:cs="仿宋_GB2312"/>
          <w:color w:val="000000"/>
          <w:sz w:val="30"/>
          <w:szCs w:val="30"/>
        </w:rPr>
        <w:t>固定价</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lang w:val="en-US" w:eastAsia="zh-CN"/>
        </w:rPr>
        <w:t>合同总价</w:t>
      </w:r>
      <w:r>
        <w:rPr>
          <w:rFonts w:hint="eastAsia" w:ascii="仿宋_GB2312" w:hAnsi="仿宋_GB2312" w:eastAsia="仿宋_GB2312" w:cs="仿宋_GB2312"/>
          <w:color w:val="000000"/>
          <w:sz w:val="30"/>
          <w:szCs w:val="30"/>
          <w:lang w:eastAsia="zh-CN"/>
        </w:rPr>
        <w:t>共计</w:t>
      </w:r>
      <w:bookmarkEnd w:id="12"/>
      <w:r>
        <w:rPr>
          <w:rFonts w:hint="eastAsia" w:ascii="仿宋_GB2312" w:hAnsi="仿宋_GB2312" w:eastAsia="仿宋_GB2312" w:cs="仿宋_GB2312"/>
          <w:color w:val="000000"/>
          <w:sz w:val="30"/>
          <w:szCs w:val="30"/>
        </w:rPr>
        <w:t>人民币</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rPr>
        <w:t>元（小写：¥</w:t>
      </w:r>
      <w:r>
        <w:rPr>
          <w:rFonts w:hint="eastAsia" w:ascii="仿宋_GB2312" w:hAnsi="仿宋_GB2312" w:eastAsia="仿宋_GB2312" w:cs="仿宋_GB2312"/>
          <w:color w:val="000000"/>
          <w:sz w:val="30"/>
          <w:szCs w:val="30"/>
          <w:u w:val="single"/>
        </w:rPr>
        <w:t xml:space="preserve"> </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single"/>
        </w:rPr>
        <w:t xml:space="preserve"> </w:t>
      </w:r>
      <w:r>
        <w:rPr>
          <w:rFonts w:hint="eastAsia" w:ascii="仿宋_GB2312" w:hAnsi="仿宋_GB2312" w:eastAsia="仿宋_GB2312" w:cs="仿宋_GB2312"/>
          <w:color w:val="000000"/>
          <w:sz w:val="30"/>
          <w:szCs w:val="30"/>
          <w:u w:val="none"/>
          <w:lang w:eastAsia="zh-CN"/>
        </w:rPr>
        <w:t>，此处合同总价为中标价</w:t>
      </w:r>
      <w:r>
        <w:rPr>
          <w:rFonts w:hint="eastAsia" w:ascii="仿宋_GB2312" w:hAnsi="仿宋_GB2312" w:eastAsia="仿宋_GB2312" w:cs="仿宋_GB2312"/>
          <w:color w:val="000000"/>
          <w:sz w:val="30"/>
          <w:szCs w:val="30"/>
        </w:rPr>
        <w:t>）</w:t>
      </w:r>
      <w:bookmarkEnd w:id="13"/>
      <w:bookmarkStart w:id="14" w:name="_Hlk6251237"/>
      <w:r>
        <w:rPr>
          <w:rFonts w:hint="eastAsia" w:ascii="仿宋_GB2312" w:hAnsi="仿宋_GB2312" w:eastAsia="仿宋_GB2312" w:cs="仿宋_GB2312"/>
          <w:color w:val="000000"/>
          <w:sz w:val="30"/>
          <w:szCs w:val="30"/>
        </w:rPr>
        <w:t>。</w:t>
      </w:r>
      <w:bookmarkEnd w:id="14"/>
      <w:r>
        <w:rPr>
          <w:rFonts w:hint="eastAsia" w:ascii="仿宋_GB2312" w:hAnsi="仿宋_GB2312" w:eastAsia="仿宋_GB2312" w:cs="仿宋_GB2312"/>
          <w:color w:val="000000"/>
          <w:sz w:val="30"/>
          <w:szCs w:val="30"/>
        </w:rPr>
        <w:t>该合同价款包括完成</w:t>
      </w:r>
      <w:r>
        <w:rPr>
          <w:rFonts w:hint="eastAsia" w:ascii="仿宋_GB2312" w:hAnsi="仿宋_GB2312" w:eastAsia="仿宋_GB2312" w:cs="仿宋_GB2312"/>
          <w:color w:val="000000"/>
          <w:sz w:val="30"/>
          <w:szCs w:val="30"/>
          <w:lang w:val="en-US" w:eastAsia="zh-CN"/>
        </w:rPr>
        <w:t>合同所有服务内容</w:t>
      </w:r>
      <w:r>
        <w:rPr>
          <w:rFonts w:hint="eastAsia" w:ascii="仿宋_GB2312" w:hAnsi="仿宋_GB2312" w:eastAsia="仿宋_GB2312" w:cs="仿宋_GB2312"/>
          <w:color w:val="000000"/>
          <w:sz w:val="30"/>
          <w:szCs w:val="30"/>
        </w:rPr>
        <w:t>的全部费用，</w:t>
      </w:r>
      <w:r>
        <w:rPr>
          <w:rFonts w:hint="eastAsia" w:ascii="仿宋_GB2312" w:hAnsi="仿宋_GB2312" w:eastAsia="仿宋_GB2312" w:cs="仿宋_GB2312"/>
          <w:color w:val="000000"/>
          <w:sz w:val="30"/>
          <w:szCs w:val="30"/>
          <w:lang w:val="en-US" w:eastAsia="zh-CN"/>
        </w:rPr>
        <w:t>包括但不限于所需人工费、税费和其他费用</w:t>
      </w:r>
      <w:r>
        <w:rPr>
          <w:rFonts w:hint="eastAsia" w:ascii="仿宋_GB2312" w:hAnsi="仿宋_GB2312" w:eastAsia="仿宋_GB2312" w:cs="仿宋_GB2312"/>
          <w:color w:val="000000"/>
          <w:sz w:val="30"/>
          <w:szCs w:val="30"/>
        </w:rPr>
        <w:t>。</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b/>
          <w:bCs/>
          <w:color w:val="000000"/>
          <w:sz w:val="30"/>
          <w:szCs w:val="30"/>
        </w:rPr>
      </w:pPr>
      <w:r>
        <w:rPr>
          <w:rFonts w:hint="eastAsia" w:ascii="仿宋_GB2312" w:hAnsi="仿宋_GB2312" w:eastAsia="仿宋_GB2312" w:cs="仿宋_GB2312"/>
          <w:b/>
          <w:bCs/>
          <w:color w:val="000000"/>
          <w:sz w:val="30"/>
          <w:szCs w:val="30"/>
        </w:rPr>
        <w:t>2.</w:t>
      </w:r>
      <w:bookmarkStart w:id="15" w:name="_Hlk33090694"/>
      <w:r>
        <w:rPr>
          <w:rFonts w:hint="eastAsia" w:ascii="仿宋_GB2312" w:hAnsi="仿宋_GB2312" w:eastAsia="仿宋_GB2312" w:cs="仿宋_GB2312"/>
          <w:b/>
          <w:bCs/>
          <w:color w:val="000000"/>
          <w:sz w:val="30"/>
          <w:szCs w:val="30"/>
        </w:rPr>
        <w:t>合同</w:t>
      </w:r>
      <w:r>
        <w:rPr>
          <w:rFonts w:hint="eastAsia" w:ascii="仿宋_GB2312" w:hAnsi="仿宋_GB2312" w:eastAsia="仿宋_GB2312" w:cs="仿宋_GB2312"/>
          <w:b/>
          <w:bCs/>
          <w:color w:val="000000"/>
          <w:sz w:val="30"/>
          <w:szCs w:val="30"/>
          <w:lang w:eastAsia="zh-CN"/>
        </w:rPr>
        <w:t>价款支付方式</w:t>
      </w:r>
      <w:bookmarkEnd w:id="15"/>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本合同总价款分</w:t>
      </w:r>
      <w:r>
        <w:rPr>
          <w:rFonts w:hint="eastAsia" w:ascii="仿宋_GB2312" w:hAnsi="仿宋_GB2312" w:eastAsia="仿宋_GB2312" w:cs="仿宋_GB2312"/>
          <w:color w:val="000000"/>
          <w:sz w:val="30"/>
          <w:szCs w:val="30"/>
          <w:u w:val="none"/>
          <w:lang w:val="en-US" w:eastAsia="zh-CN"/>
        </w:rPr>
        <w:t>三</w:t>
      </w:r>
      <w:r>
        <w:rPr>
          <w:rFonts w:hint="eastAsia" w:ascii="仿宋_GB2312" w:hAnsi="仿宋_GB2312" w:eastAsia="仿宋_GB2312" w:cs="仿宋_GB2312"/>
          <w:color w:val="000000" w:themeColor="text1"/>
          <w:sz w:val="30"/>
          <w:szCs w:val="30"/>
          <w14:textFill>
            <w14:solidFill>
              <w14:schemeClr w14:val="tx1"/>
            </w14:solidFill>
          </w14:textFill>
        </w:rPr>
        <w:t>期付款</w:t>
      </w:r>
      <w:r>
        <w:rPr>
          <w:rFonts w:hint="eastAsia" w:ascii="仿宋_GB2312" w:hAnsi="仿宋_GB2312" w:eastAsia="仿宋_GB2312" w:cs="仿宋_GB2312"/>
          <w:color w:val="000000" w:themeColor="text1"/>
          <w:sz w:val="30"/>
          <w:szCs w:val="30"/>
          <w:lang w:eastAsia="zh-CN"/>
          <w14:textFill>
            <w14:solidFill>
              <w14:schemeClr w14:val="tx1"/>
            </w14:solidFill>
          </w14:textFill>
        </w:rPr>
        <w:t>，具体如下</w:t>
      </w:r>
      <w:r>
        <w:rPr>
          <w:rFonts w:hint="eastAsia" w:ascii="仿宋_GB2312" w:hAnsi="仿宋_GB2312" w:eastAsia="仿宋_GB2312" w:cs="仿宋_GB2312"/>
          <w:color w:val="000000" w:themeColor="text1"/>
          <w:sz w:val="30"/>
          <w:szCs w:val="30"/>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首期：自合同签订</w:t>
      </w:r>
      <w:r>
        <w:rPr>
          <w:rFonts w:hint="eastAsia" w:ascii="仿宋_GB2312" w:hAnsi="仿宋_GB2312" w:eastAsia="仿宋_GB2312" w:cs="仿宋_GB2312"/>
          <w:color w:val="000000" w:themeColor="text1"/>
          <w:sz w:val="30"/>
          <w:szCs w:val="30"/>
          <w:lang w:eastAsia="zh-CN"/>
          <w14:textFill>
            <w14:solidFill>
              <w14:schemeClr w14:val="tx1"/>
            </w14:solidFill>
          </w14:textFill>
        </w:rPr>
        <w:t>生效</w:t>
      </w:r>
      <w:r>
        <w:rPr>
          <w:rFonts w:hint="eastAsia" w:ascii="仿宋_GB2312" w:hAnsi="仿宋_GB2312" w:eastAsia="仿宋_GB2312" w:cs="仿宋_GB2312"/>
          <w:color w:val="000000" w:themeColor="text1"/>
          <w:sz w:val="30"/>
          <w:szCs w:val="30"/>
          <w14:textFill>
            <w14:solidFill>
              <w14:schemeClr w14:val="tx1"/>
            </w14:solidFill>
          </w14:textFill>
        </w:rPr>
        <w:t>之日起一个月内支付不低于合同总价款</w:t>
      </w:r>
      <w:r>
        <w:rPr>
          <w:rFonts w:hint="default" w:ascii="仿宋_GB2312" w:hAnsi="仿宋_GB2312" w:eastAsia="仿宋_GB2312" w:cs="仿宋_GB2312"/>
          <w:color w:val="000000" w:themeColor="text1"/>
          <w:sz w:val="30"/>
          <w:szCs w:val="30"/>
          <w:lang w:val="en-US"/>
          <w14:textFill>
            <w14:solidFill>
              <w14:schemeClr w14:val="tx1"/>
            </w14:solidFill>
          </w14:textFill>
        </w:rPr>
        <w:t>4</w:t>
      </w:r>
      <w:r>
        <w:rPr>
          <w:rFonts w:hint="eastAsia" w:ascii="仿宋_GB2312" w:hAnsi="仿宋_GB2312" w:eastAsia="仿宋_GB2312" w:cs="仿宋_GB2312"/>
          <w:color w:val="000000" w:themeColor="text1"/>
          <w:sz w:val="30"/>
          <w:szCs w:val="30"/>
          <w14:textFill>
            <w14:solidFill>
              <w14:schemeClr w14:val="tx1"/>
            </w14:solidFill>
          </w14:textFill>
        </w:rPr>
        <w:t>0%比例的款项；</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第二期：6个月服务期结束且</w:t>
      </w:r>
      <w:r>
        <w:rPr>
          <w:rFonts w:hint="eastAsia" w:ascii="仿宋_GB2312" w:hAnsi="仿宋_GB2312" w:eastAsia="仿宋_GB2312" w:cs="仿宋_GB2312"/>
          <w:color w:val="000000" w:themeColor="text1"/>
          <w:sz w:val="30"/>
          <w:szCs w:val="30"/>
          <w:lang w:eastAsia="zh-CN"/>
          <w14:textFill>
            <w14:solidFill>
              <w14:schemeClr w14:val="tx1"/>
            </w14:solidFill>
          </w14:textFill>
        </w:rPr>
        <w:t>投标人</w:t>
      </w:r>
      <w:r>
        <w:rPr>
          <w:rFonts w:hint="eastAsia" w:ascii="仿宋_GB2312" w:hAnsi="仿宋_GB2312" w:eastAsia="仿宋_GB2312" w:cs="仿宋_GB2312"/>
          <w:color w:val="000000" w:themeColor="text1"/>
          <w:sz w:val="30"/>
          <w:szCs w:val="30"/>
          <w14:textFill>
            <w14:solidFill>
              <w14:schemeClr w14:val="tx1"/>
            </w14:solidFill>
          </w14:textFill>
        </w:rPr>
        <w:t>提交经招标人确认的半年度服务总结报告后支付</w:t>
      </w:r>
      <w:r>
        <w:rPr>
          <w:rFonts w:hint="eastAsia" w:ascii="仿宋_GB2312" w:hAnsi="仿宋_GB2312" w:eastAsia="仿宋_GB2312" w:cs="仿宋_GB2312"/>
          <w:color w:val="000000" w:themeColor="text1"/>
          <w:sz w:val="30"/>
          <w:szCs w:val="30"/>
          <w:lang w:eastAsia="zh-CN"/>
          <w14:textFill>
            <w14:solidFill>
              <w14:schemeClr w14:val="tx1"/>
            </w14:solidFill>
          </w14:textFill>
        </w:rPr>
        <w:t>至</w:t>
      </w:r>
      <w:r>
        <w:rPr>
          <w:rFonts w:hint="eastAsia" w:ascii="仿宋_GB2312" w:hAnsi="仿宋_GB2312" w:eastAsia="仿宋_GB2312" w:cs="仿宋_GB2312"/>
          <w:color w:val="000000" w:themeColor="text1"/>
          <w:sz w:val="30"/>
          <w:szCs w:val="30"/>
          <w14:textFill>
            <w14:solidFill>
              <w14:schemeClr w14:val="tx1"/>
            </w14:solidFill>
          </w14:textFill>
        </w:rPr>
        <w:t>本合同总价款的</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9</w:t>
      </w:r>
      <w:r>
        <w:rPr>
          <w:rFonts w:hint="eastAsia" w:ascii="仿宋_GB2312" w:hAnsi="仿宋_GB2312" w:eastAsia="仿宋_GB2312" w:cs="仿宋_GB2312"/>
          <w:color w:val="000000" w:themeColor="text1"/>
          <w:sz w:val="30"/>
          <w:szCs w:val="30"/>
          <w14:textFill>
            <w14:solidFill>
              <w14:schemeClr w14:val="tx1"/>
            </w14:solidFill>
          </w14:textFill>
        </w:rPr>
        <w:t>0%比例的款项；</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第三期：合同总价款的10%为绩效酬金，根据</w:t>
      </w:r>
      <w:r>
        <w:rPr>
          <w:rFonts w:hint="eastAsia" w:ascii="仿宋_GB2312" w:hAnsi="仿宋_GB2312" w:eastAsia="仿宋_GB2312" w:cs="仿宋_GB2312"/>
          <w:color w:val="000000" w:themeColor="text1"/>
          <w:sz w:val="30"/>
          <w:szCs w:val="30"/>
          <w:lang w:eastAsia="zh-CN"/>
          <w14:textFill>
            <w14:solidFill>
              <w14:schemeClr w14:val="tx1"/>
            </w14:solidFill>
          </w14:textFill>
        </w:rPr>
        <w:t>合同服务期前三个季</w:t>
      </w:r>
      <w:r>
        <w:rPr>
          <w:rFonts w:hint="eastAsia" w:ascii="仿宋_GB2312" w:hAnsi="仿宋_GB2312" w:eastAsia="仿宋_GB2312" w:cs="仿宋_GB2312"/>
          <w:color w:val="000000" w:themeColor="text1"/>
          <w:sz w:val="30"/>
          <w:szCs w:val="30"/>
          <w14:textFill>
            <w14:solidFill>
              <w14:schemeClr w14:val="tx1"/>
            </w14:solidFill>
          </w14:textFill>
        </w:rPr>
        <w:t>度履约评价结果支付，履约评价结果为良</w:t>
      </w:r>
      <w:r>
        <w:rPr>
          <w:rFonts w:hint="eastAsia" w:ascii="仿宋_GB2312" w:hAnsi="仿宋_GB2312" w:eastAsia="仿宋_GB2312" w:cs="仿宋_GB2312"/>
          <w:color w:val="000000" w:themeColor="text1"/>
          <w:sz w:val="30"/>
          <w:szCs w:val="30"/>
          <w:lang w:eastAsia="zh-CN"/>
          <w14:textFill>
            <w14:solidFill>
              <w14:schemeClr w14:val="tx1"/>
            </w14:solidFill>
          </w14:textFill>
        </w:rPr>
        <w:t>好</w:t>
      </w:r>
      <w:r>
        <w:rPr>
          <w:rFonts w:hint="eastAsia" w:ascii="仿宋_GB2312" w:hAnsi="仿宋_GB2312" w:eastAsia="仿宋_GB2312" w:cs="仿宋_GB2312"/>
          <w:color w:val="000000" w:themeColor="text1"/>
          <w:sz w:val="30"/>
          <w:szCs w:val="30"/>
          <w14:textFill>
            <w14:solidFill>
              <w14:schemeClr w14:val="tx1"/>
            </w14:solidFill>
          </w14:textFill>
        </w:rPr>
        <w:t>及以上时支付绩效酬金的100%，履约评价结果为合格时支付80%，履约评价结果为不合格时则不予支付（备注：各期费用具体金额将根据中标价确定，首期款应不低于上述支付比例）。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sz w:val="30"/>
          <w:szCs w:val="30"/>
        </w:rPr>
      </w:pPr>
      <w:bookmarkStart w:id="16" w:name="_Hlk6251749"/>
      <w:r>
        <w:rPr>
          <w:rFonts w:hint="eastAsia" w:ascii="仿宋_GB2312" w:hAnsi="仿宋_GB2312" w:eastAsia="仿宋_GB2312" w:cs="仿宋_GB2312"/>
          <w:color w:val="000000"/>
          <w:sz w:val="30"/>
          <w:szCs w:val="30"/>
        </w:rPr>
        <w:t>各期付款前，中标</w:t>
      </w:r>
      <w:r>
        <w:rPr>
          <w:rFonts w:hint="eastAsia" w:ascii="仿宋_GB2312" w:hAnsi="仿宋_GB2312" w:eastAsia="仿宋_GB2312" w:cs="仿宋_GB2312"/>
          <w:color w:val="000000"/>
          <w:sz w:val="30"/>
          <w:szCs w:val="30"/>
          <w:lang w:eastAsia="zh-CN"/>
        </w:rPr>
        <w:t>人</w:t>
      </w:r>
      <w:r>
        <w:rPr>
          <w:rFonts w:hint="eastAsia" w:ascii="仿宋_GB2312" w:hAnsi="仿宋_GB2312" w:eastAsia="仿宋_GB2312" w:cs="仿宋_GB2312"/>
          <w:color w:val="000000"/>
          <w:sz w:val="30"/>
          <w:szCs w:val="30"/>
        </w:rPr>
        <w:t>都需向招标人提供付款申请书和等额合法有效的发票，招标人在收到付款申请书和发票后及时办理完审批手续并予以支付。若因中标</w:t>
      </w:r>
      <w:r>
        <w:rPr>
          <w:rFonts w:hint="eastAsia" w:ascii="仿宋_GB2312" w:hAnsi="仿宋_GB2312" w:eastAsia="仿宋_GB2312" w:cs="仿宋_GB2312"/>
          <w:color w:val="000000"/>
          <w:sz w:val="30"/>
          <w:szCs w:val="30"/>
          <w:lang w:eastAsia="zh-CN"/>
        </w:rPr>
        <w:t>人</w:t>
      </w:r>
      <w:r>
        <w:rPr>
          <w:rFonts w:hint="eastAsia" w:ascii="仿宋_GB2312" w:hAnsi="仿宋_GB2312" w:eastAsia="仿宋_GB2312" w:cs="仿宋_GB2312"/>
          <w:color w:val="000000"/>
          <w:sz w:val="30"/>
          <w:szCs w:val="30"/>
        </w:rPr>
        <w:t>原因或年度预算批复等非招标人原因导致的迟延支付，招标人不承担任何责任，中标</w:t>
      </w:r>
      <w:r>
        <w:rPr>
          <w:rFonts w:hint="eastAsia" w:ascii="仿宋_GB2312" w:hAnsi="仿宋_GB2312" w:eastAsia="仿宋_GB2312" w:cs="仿宋_GB2312"/>
          <w:color w:val="000000"/>
          <w:sz w:val="30"/>
          <w:szCs w:val="30"/>
          <w:lang w:eastAsia="zh-CN"/>
        </w:rPr>
        <w:t>人</w:t>
      </w:r>
      <w:r>
        <w:rPr>
          <w:rFonts w:hint="eastAsia" w:ascii="仿宋_GB2312" w:hAnsi="仿宋_GB2312" w:eastAsia="仿宋_GB2312" w:cs="仿宋_GB2312"/>
          <w:color w:val="000000"/>
          <w:sz w:val="30"/>
          <w:szCs w:val="30"/>
        </w:rPr>
        <w:t>应继续履行相关义务。</w:t>
      </w:r>
      <w:bookmarkEnd w:id="11"/>
      <w:bookmarkEnd w:id="16"/>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480"/>
        <w:textAlignment w:val="auto"/>
        <w:rPr>
          <w:rFonts w:hint="eastAsia" w:ascii="黑体" w:hAnsi="黑体" w:eastAsia="黑体" w:cs="黑体"/>
          <w:color w:val="000000"/>
          <w:sz w:val="30"/>
          <w:szCs w:val="30"/>
          <w:lang w:eastAsia="zh-CN"/>
        </w:rPr>
      </w:pPr>
      <w:r>
        <w:rPr>
          <w:rFonts w:hint="eastAsia" w:ascii="黑体" w:hAnsi="黑体" w:eastAsia="黑体" w:cs="黑体"/>
          <w:color w:val="000000"/>
          <w:sz w:val="30"/>
          <w:szCs w:val="30"/>
          <w:lang w:eastAsia="zh-CN"/>
        </w:rPr>
        <w:t>验收要求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textAlignment w:val="auto"/>
        <w:rPr>
          <w:rFonts w:hint="default"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 xml:space="preserve">   合同服务期结束后一个月内提交经招标人确认的年度服务总结报告。</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480" w:firstLineChars="0"/>
        <w:textAlignment w:val="auto"/>
        <w:rPr>
          <w:rFonts w:hint="eastAsia" w:ascii="黑体" w:hAnsi="黑体" w:eastAsia="黑体" w:cs="黑体"/>
          <w:color w:val="000000"/>
          <w:sz w:val="30"/>
          <w:szCs w:val="30"/>
          <w:lang w:val="en-US" w:eastAsia="zh-CN"/>
        </w:rPr>
      </w:pPr>
      <w:r>
        <w:rPr>
          <w:rFonts w:hint="eastAsia" w:ascii="黑体" w:hAnsi="黑体" w:eastAsia="黑体" w:cs="黑体"/>
          <w:color w:val="000000"/>
          <w:sz w:val="30"/>
          <w:szCs w:val="30"/>
          <w:lang w:val="en-US" w:eastAsia="zh-CN"/>
        </w:rPr>
        <w:t>利益冲突审查要求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textAlignment w:val="auto"/>
        <w:rPr>
          <w:rFonts w:hint="default" w:ascii="仿宋_GB2312" w:hAnsi="仿宋_GB2312" w:eastAsia="仿宋_GB2312" w:cs="仿宋_GB2312"/>
          <w:color w:val="000000"/>
          <w:sz w:val="30"/>
          <w:szCs w:val="30"/>
          <w:lang w:val="en-US" w:eastAsia="zh-CN"/>
        </w:rPr>
      </w:pPr>
      <w:r>
        <w:rPr>
          <w:rFonts w:hint="eastAsia" w:ascii="仿宋_GB2312" w:hAnsi="仿宋_GB2312" w:eastAsia="仿宋_GB2312" w:cs="仿宋_GB2312"/>
          <w:color w:val="000000"/>
          <w:sz w:val="30"/>
          <w:szCs w:val="30"/>
          <w:lang w:val="en-US" w:eastAsia="zh-CN"/>
        </w:rPr>
        <w:t>在本项目合同服务期内，中标人应将深圳市建筑工务署、深圳市建筑工务署工程管理中心、深圳市建筑工务署工程设计管理中心、深圳市建筑工务署文体和水务工程管理中心、深圳市建筑工务署教育工程管理中心作为同一利益冲突审查对象，且中标人应保持与上述深圳市建筑工务署及其四个直属单位不存在利益冲突，否则一经招标人发现，则招标人有权单方解除合同，中标人还应向招标人支付合同价款20%作为违约金。</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480" w:firstLineChars="0"/>
        <w:textAlignment w:val="auto"/>
        <w:rPr>
          <w:rFonts w:hint="eastAsia" w:ascii="黑体" w:hAnsi="黑体" w:eastAsia="黑体" w:cs="黑体"/>
          <w:color w:val="000000"/>
          <w:sz w:val="30"/>
          <w:szCs w:val="30"/>
          <w:lang w:val="en-US" w:eastAsia="zh-CN"/>
        </w:rPr>
      </w:pPr>
      <w:r>
        <w:rPr>
          <w:rFonts w:hint="eastAsia" w:ascii="黑体" w:hAnsi="黑体" w:eastAsia="黑体" w:cs="黑体"/>
          <w:color w:val="000000"/>
          <w:sz w:val="30"/>
          <w:szCs w:val="30"/>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textAlignment w:val="auto"/>
      </w:pPr>
      <w:r>
        <w:rPr>
          <w:rFonts w:hint="eastAsia" w:ascii="仿宋_GB2312" w:hAnsi="仿宋_GB2312" w:eastAsia="仿宋_GB2312" w:cs="仿宋_GB2312"/>
          <w:color w:val="000000"/>
          <w:sz w:val="30"/>
          <w:szCs w:val="30"/>
          <w:lang w:val="en-US" w:eastAsia="zh-CN"/>
        </w:rPr>
        <w:t>本项目为跨年度履约项目，若次年该项目预算未获批复，中标人同意在接到招标人解除本项目合同的书面通知后不持异议，且招标人、中标人双方一致同意在该等情形下互不负违约责任。若次年该项目预算未获足额批复，双方一致同意通过签订补充协议调整合同服务内容和合同金额。</w:t>
      </w:r>
    </w:p>
    <w:p>
      <w:pPr>
        <w:jc w:val="left"/>
        <w:rPr>
          <w:rFonts w:hint="default" w:ascii="黑体" w:hAnsi="黑体" w:eastAsia="黑体" w:cs="黑体"/>
          <w:color w:val="auto"/>
          <w:sz w:val="32"/>
          <w:szCs w:val="32"/>
          <w:lang w:val="en-US" w:eastAsia="zh-CN"/>
        </w:rPr>
      </w:pPr>
      <w:r>
        <w:rPr>
          <w:rFonts w:hint="eastAsia" w:ascii="仿宋_GB2312" w:hAnsi="仿宋_GB2312" w:eastAsia="仿宋_GB2312" w:cs="仿宋_GB2312"/>
          <w:color w:val="auto"/>
          <w:sz w:val="32"/>
          <w:szCs w:val="32"/>
          <w:lang w:eastAsia="zh-CN"/>
        </w:rPr>
        <w:t>附件</w:t>
      </w:r>
      <w:r>
        <w:rPr>
          <w:rFonts w:hint="eastAsia" w:ascii="仿宋_GB2312" w:hAnsi="仿宋_GB2312" w:eastAsia="仿宋_GB2312" w:cs="仿宋_GB2312"/>
          <w:color w:val="auto"/>
          <w:sz w:val="32"/>
          <w:szCs w:val="32"/>
          <w:lang w:val="en-US" w:eastAsia="zh-CN"/>
        </w:rPr>
        <w:t>7</w:t>
      </w: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outlineLvl w:val="1"/>
        <w:rPr>
          <w:rFonts w:hint="eastAsia" w:ascii="方正小标宋简体" w:hAnsi="方正小标宋简体" w:eastAsia="方正小标宋简体" w:cs="方正小标宋简体"/>
          <w:bCs/>
          <w:color w:val="auto"/>
          <w:sz w:val="32"/>
          <w:szCs w:val="32"/>
          <w:lang w:val="en-US" w:eastAsia="zh-CN"/>
        </w:rPr>
      </w:pPr>
      <w:r>
        <w:rPr>
          <w:rFonts w:hint="eastAsia" w:ascii="方正小标宋简体" w:hAnsi="方正小标宋简体" w:eastAsia="方正小标宋简体" w:cs="方正小标宋简体"/>
          <w:bCs/>
          <w:color w:val="auto"/>
          <w:sz w:val="32"/>
          <w:szCs w:val="32"/>
          <w:lang w:eastAsia="zh-CN"/>
        </w:rPr>
        <w:t>深圳市建筑工务署</w:t>
      </w:r>
      <w:r>
        <w:rPr>
          <w:rFonts w:hint="eastAsia" w:ascii="方正小标宋简体" w:hAnsi="方正小标宋简体" w:eastAsia="方正小标宋简体" w:cs="方正小标宋简体"/>
          <w:bCs/>
          <w:color w:val="auto"/>
          <w:sz w:val="32"/>
          <w:szCs w:val="32"/>
          <w:lang w:val="en-US" w:eastAsia="zh-CN"/>
        </w:rPr>
        <w:t>教育工程管理中心2026-2027年度</w:t>
      </w: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outlineLvl w:val="1"/>
        <w:rPr>
          <w:rFonts w:hint="eastAsia" w:ascii="方正小标宋简体" w:hAnsi="方正小标宋简体" w:eastAsia="方正小标宋简体" w:cs="方正小标宋简体"/>
          <w:b/>
          <w:bCs/>
          <w:color w:val="auto"/>
          <w:sz w:val="32"/>
          <w:szCs w:val="32"/>
          <w:lang w:val="en-US" w:eastAsia="zh-CN"/>
        </w:rPr>
      </w:pPr>
      <w:r>
        <w:rPr>
          <w:rFonts w:hint="eastAsia" w:ascii="方正小标宋简体" w:hAnsi="方正小标宋简体" w:eastAsia="方正小标宋简体" w:cs="方正小标宋简体"/>
          <w:bCs/>
          <w:color w:val="auto"/>
          <w:sz w:val="32"/>
          <w:szCs w:val="32"/>
          <w:lang w:val="en-US" w:eastAsia="zh-CN"/>
        </w:rPr>
        <w:t>常年</w:t>
      </w:r>
      <w:r>
        <w:rPr>
          <w:rFonts w:hint="eastAsia" w:ascii="方正小标宋简体" w:hAnsi="方正小标宋简体" w:eastAsia="方正小标宋简体" w:cs="方正小标宋简体"/>
          <w:bCs/>
          <w:color w:val="auto"/>
          <w:sz w:val="32"/>
          <w:szCs w:val="32"/>
          <w:lang w:eastAsia="zh-CN"/>
        </w:rPr>
        <w:t>法律顾问项目合同主要条款</w:t>
      </w:r>
    </w:p>
    <w:p>
      <w:pPr>
        <w:widowControl/>
        <w:spacing w:line="560" w:lineRule="exact"/>
        <w:ind w:firstLine="480"/>
        <w:outlineLvl w:val="2"/>
        <w:rPr>
          <w:rFonts w:hint="eastAsia" w:ascii="宋体" w:hAnsi="宋体" w:eastAsia="宋体" w:cs="宋体"/>
          <w:b/>
          <w:bCs/>
          <w:color w:val="auto"/>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黑体" w:hAnsi="黑体" w:eastAsia="黑体" w:cs="黑体"/>
          <w:b w:val="0"/>
          <w:bCs w:val="0"/>
          <w:color w:val="auto"/>
          <w:sz w:val="30"/>
          <w:szCs w:val="30"/>
          <w:lang w:eastAsia="zh-CN"/>
        </w:rPr>
      </w:pPr>
      <w:r>
        <w:rPr>
          <w:rFonts w:hint="eastAsia" w:ascii="黑体" w:hAnsi="黑体" w:eastAsia="黑体" w:cs="黑体"/>
          <w:b w:val="0"/>
          <w:bCs w:val="0"/>
          <w:color w:val="auto"/>
          <w:sz w:val="30"/>
          <w:szCs w:val="30"/>
          <w:lang w:eastAsia="zh-CN"/>
        </w:rPr>
        <w:t>一、服务内容</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协助</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快速高效处理</w:t>
      </w:r>
      <w:r>
        <w:rPr>
          <w:rFonts w:hint="eastAsia" w:ascii="仿宋_GB2312" w:hAnsi="仿宋_GB2312" w:eastAsia="仿宋_GB2312" w:cs="仿宋_GB2312"/>
          <w:color w:val="auto"/>
          <w:sz w:val="30"/>
          <w:szCs w:val="30"/>
          <w:lang w:eastAsia="zh-CN"/>
        </w:rPr>
        <w:t>各项</w:t>
      </w:r>
      <w:r>
        <w:rPr>
          <w:rFonts w:hint="eastAsia" w:ascii="仿宋_GB2312" w:hAnsi="仿宋_GB2312" w:eastAsia="仿宋_GB2312" w:cs="仿宋_GB2312"/>
          <w:color w:val="auto"/>
          <w:sz w:val="30"/>
          <w:szCs w:val="30"/>
        </w:rPr>
        <w:t>法律事务，确保重大事项决策依法合规，防控</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各项工作潜在的履职风险，结合</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工作实际，提供如下法律服务</w:t>
      </w:r>
      <w:r>
        <w:rPr>
          <w:rFonts w:hint="eastAsia" w:ascii="仿宋_GB2312" w:hAnsi="仿宋_GB2312" w:eastAsia="仿宋_GB2312" w:cs="仿宋_GB2312"/>
          <w:color w:val="auto"/>
          <w:sz w:val="30"/>
          <w:szCs w:val="30"/>
          <w:lang w:eastAsia="zh-CN"/>
        </w:rPr>
        <w:t>，包括但不限于</w:t>
      </w:r>
      <w:r>
        <w:rPr>
          <w:rFonts w:hint="eastAsia" w:ascii="仿宋_GB2312" w:hAnsi="仿宋_GB2312" w:eastAsia="仿宋_GB2312" w:cs="仿宋_GB2312"/>
          <w:color w:val="auto"/>
          <w:sz w:val="30"/>
          <w:szCs w:val="30"/>
        </w:rPr>
        <w:t>：</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楷体_GB2312" w:hAnsi="楷体_GB2312" w:eastAsia="楷体_GB2312" w:cs="楷体_GB2312"/>
          <w:color w:val="auto"/>
          <w:sz w:val="30"/>
          <w:szCs w:val="30"/>
        </w:rPr>
      </w:pPr>
      <w:r>
        <w:rPr>
          <w:rFonts w:hint="eastAsia" w:ascii="楷体_GB2312" w:hAnsi="楷体_GB2312" w:eastAsia="楷体_GB2312" w:cs="楷体_GB2312"/>
          <w:color w:val="auto"/>
          <w:sz w:val="30"/>
          <w:szCs w:val="30"/>
        </w:rPr>
        <w:t>（一）协助处理日常法律事务</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常年法律顾问应根据法律法规规定和自身在法律领域的丰富实践经验，结合</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实际，</w:t>
      </w:r>
      <w:r>
        <w:rPr>
          <w:rFonts w:hint="eastAsia" w:ascii="仿宋_GB2312" w:hAnsi="仿宋_GB2312" w:eastAsia="仿宋_GB2312" w:cs="仿宋_GB2312"/>
          <w:color w:val="auto"/>
          <w:sz w:val="30"/>
          <w:szCs w:val="30"/>
          <w:lang w:eastAsia="zh-CN"/>
        </w:rPr>
        <w:t>根据发包人</w:t>
      </w:r>
      <w:r>
        <w:rPr>
          <w:rFonts w:hint="eastAsia" w:ascii="仿宋_GB2312" w:hAnsi="仿宋_GB2312" w:eastAsia="仿宋_GB2312" w:cs="仿宋_GB2312"/>
          <w:color w:val="auto"/>
          <w:sz w:val="30"/>
          <w:szCs w:val="30"/>
        </w:rPr>
        <w:t>要求，协助</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处理日常法律事务，包括但不限于：</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一是</w:t>
      </w:r>
      <w:r>
        <w:rPr>
          <w:rFonts w:hint="eastAsia" w:ascii="仿宋_GB2312" w:hAnsi="仿宋_GB2312" w:eastAsia="仿宋_GB2312" w:cs="仿宋_GB2312"/>
          <w:color w:val="auto"/>
          <w:sz w:val="30"/>
          <w:szCs w:val="30"/>
        </w:rPr>
        <w:t>为</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日常工作中所涉及的法律问题，提供法律咨询；</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二是</w:t>
      </w:r>
      <w:r>
        <w:rPr>
          <w:rFonts w:hint="eastAsia" w:ascii="仿宋_GB2312" w:hAnsi="仿宋_GB2312" w:eastAsia="仿宋_GB2312" w:cs="仿宋_GB2312"/>
          <w:color w:val="auto"/>
          <w:sz w:val="30"/>
          <w:szCs w:val="30"/>
          <w:lang w:eastAsia="zh-CN"/>
        </w:rPr>
        <w:t>协助发包人</w:t>
      </w:r>
      <w:r>
        <w:rPr>
          <w:rFonts w:hint="eastAsia" w:ascii="仿宋_GB2312" w:hAnsi="仿宋_GB2312" w:eastAsia="仿宋_GB2312" w:cs="仿宋_GB2312"/>
          <w:color w:val="auto"/>
          <w:sz w:val="30"/>
          <w:szCs w:val="30"/>
        </w:rPr>
        <w:t>草拟、审查、修改有关法律事务文书，提出法律意见和建议；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textAlignment w:val="auto"/>
        <w:outlineLvl w:val="9"/>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b/>
          <w:bCs/>
          <w:color w:val="auto"/>
          <w:sz w:val="30"/>
          <w:szCs w:val="30"/>
        </w:rPr>
        <w:t>三是</w:t>
      </w:r>
      <w:r>
        <w:rPr>
          <w:rFonts w:hint="eastAsia" w:ascii="仿宋_GB2312" w:hAnsi="仿宋_GB2312" w:eastAsia="仿宋_GB2312" w:cs="仿宋_GB2312"/>
          <w:b/>
          <w:bCs/>
          <w:color w:val="auto"/>
          <w:sz w:val="30"/>
          <w:szCs w:val="30"/>
          <w:lang w:eastAsia="zh-CN"/>
        </w:rPr>
        <w:t>发包人认为必要时，</w:t>
      </w:r>
      <w:r>
        <w:rPr>
          <w:rFonts w:hint="eastAsia" w:ascii="仿宋_GB2312" w:hAnsi="仿宋_GB2312" w:eastAsia="仿宋_GB2312" w:cs="仿宋_GB2312"/>
          <w:color w:val="auto"/>
          <w:sz w:val="30"/>
          <w:szCs w:val="30"/>
        </w:rPr>
        <w:t>协助</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草拟、审查、修改内部规章制度和各类合同</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b/>
          <w:bCs/>
          <w:color w:val="auto"/>
          <w:sz w:val="30"/>
          <w:szCs w:val="30"/>
          <w:lang w:val="en-US" w:eastAsia="zh-CN"/>
        </w:rPr>
        <w:t>以及按要求完成合同台账维护及合同履约评价工作等事项；</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四是</w:t>
      </w:r>
      <w:r>
        <w:rPr>
          <w:rFonts w:hint="eastAsia" w:ascii="仿宋_GB2312" w:hAnsi="仿宋_GB2312" w:eastAsia="仿宋_GB2312" w:cs="仿宋_GB2312"/>
          <w:b/>
          <w:bCs/>
          <w:color w:val="auto"/>
          <w:sz w:val="30"/>
          <w:szCs w:val="30"/>
          <w:lang w:eastAsia="zh-CN"/>
        </w:rPr>
        <w:t>发包人认为必要时，</w:t>
      </w:r>
      <w:r>
        <w:rPr>
          <w:rFonts w:hint="eastAsia" w:ascii="仿宋_GB2312" w:hAnsi="仿宋_GB2312" w:eastAsia="仿宋_GB2312" w:cs="仿宋_GB2312"/>
          <w:color w:val="auto"/>
          <w:sz w:val="30"/>
          <w:szCs w:val="30"/>
        </w:rPr>
        <w:t>参与</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的约谈、谈判等事宜，</w:t>
      </w:r>
      <w:r>
        <w:rPr>
          <w:rFonts w:hint="eastAsia" w:ascii="仿宋_GB2312" w:hAnsi="仿宋_GB2312" w:eastAsia="仿宋_GB2312" w:cs="仿宋_GB2312"/>
          <w:color w:val="auto"/>
          <w:sz w:val="30"/>
          <w:szCs w:val="30"/>
          <w:lang w:eastAsia="zh-CN"/>
        </w:rPr>
        <w:t>协助</w:t>
      </w:r>
      <w:r>
        <w:rPr>
          <w:rFonts w:hint="eastAsia" w:ascii="仿宋_GB2312" w:hAnsi="仿宋_GB2312" w:eastAsia="仿宋_GB2312" w:cs="仿宋_GB2312"/>
          <w:color w:val="auto"/>
          <w:sz w:val="30"/>
          <w:szCs w:val="30"/>
        </w:rPr>
        <w:t>准备或审核相关资料，协助制定谈判方案，</w:t>
      </w:r>
      <w:r>
        <w:rPr>
          <w:rFonts w:hint="eastAsia" w:ascii="仿宋_GB2312" w:hAnsi="仿宋_GB2312" w:eastAsia="仿宋_GB2312" w:cs="仿宋_GB2312"/>
          <w:color w:val="auto"/>
          <w:sz w:val="30"/>
          <w:szCs w:val="30"/>
          <w:lang w:eastAsia="zh-CN"/>
        </w:rPr>
        <w:t>协助</w:t>
      </w:r>
      <w:r>
        <w:rPr>
          <w:rFonts w:hint="eastAsia" w:ascii="仿宋_GB2312" w:hAnsi="仿宋_GB2312" w:eastAsia="仿宋_GB2312" w:cs="仿宋_GB2312"/>
          <w:color w:val="auto"/>
          <w:sz w:val="30"/>
          <w:szCs w:val="30"/>
        </w:rPr>
        <w:t>草拟、审查、修改有关法律文书，提供法律建议和意见；</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五是</w:t>
      </w:r>
      <w:r>
        <w:rPr>
          <w:rFonts w:hint="eastAsia" w:ascii="仿宋_GB2312" w:hAnsi="仿宋_GB2312" w:eastAsia="仿宋_GB2312" w:cs="仿宋_GB2312"/>
          <w:color w:val="auto"/>
          <w:sz w:val="30"/>
          <w:szCs w:val="30"/>
        </w:rPr>
        <w:t>为</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重大事项决策提供法律分析论证报告和全过程的法律咨询；</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b/>
          <w:bCs/>
          <w:color w:val="auto"/>
          <w:sz w:val="30"/>
          <w:szCs w:val="30"/>
        </w:rPr>
        <w:t>六是</w:t>
      </w:r>
      <w:r>
        <w:rPr>
          <w:rFonts w:hint="eastAsia" w:ascii="仿宋_GB2312" w:hAnsi="仿宋_GB2312" w:eastAsia="仿宋_GB2312" w:cs="仿宋_GB2312"/>
          <w:color w:val="auto"/>
          <w:sz w:val="30"/>
          <w:szCs w:val="30"/>
        </w:rPr>
        <w:t>协助</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草拟和发布有关声明、公告、致函等文书，根据</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需要，以法律顾问的名义对外签发律师函；</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rPr>
        <w:t>七是</w:t>
      </w:r>
      <w:r>
        <w:rPr>
          <w:rFonts w:hint="eastAsia" w:ascii="仿宋_GB2312" w:hAnsi="仿宋_GB2312" w:eastAsia="仿宋_GB2312" w:cs="仿宋_GB2312"/>
          <w:color w:val="auto"/>
          <w:sz w:val="30"/>
          <w:szCs w:val="30"/>
        </w:rPr>
        <w:t>参与处理</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尚未形成诉讼或仲裁的民事争议或其他纠纷，参加案件讨论会等，</w:t>
      </w:r>
      <w:r>
        <w:rPr>
          <w:rFonts w:hint="eastAsia" w:ascii="仿宋_GB2312" w:hAnsi="仿宋_GB2312" w:eastAsia="仿宋_GB2312" w:cs="仿宋_GB2312"/>
          <w:color w:val="auto"/>
          <w:sz w:val="30"/>
          <w:szCs w:val="30"/>
          <w:lang w:val="en-US" w:eastAsia="zh-CN"/>
        </w:rPr>
        <w:t>协助发包人处理招标采购活动中的异议、投诉事项，提供法律咨询服务，</w:t>
      </w:r>
      <w:r>
        <w:rPr>
          <w:rFonts w:hint="eastAsia" w:ascii="仿宋_GB2312" w:hAnsi="仿宋_GB2312" w:eastAsia="仿宋_GB2312" w:cs="仿宋_GB2312"/>
          <w:color w:val="auto"/>
          <w:sz w:val="30"/>
          <w:szCs w:val="30"/>
        </w:rPr>
        <w:t>提出法律分析意见和建议，协助</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进行必要的调解、和解工作</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出具律师函或法律意见书；</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八是根据国家省市政策法规及署内制度要求，协助发包人完成公平竞争审查相关工作；</w:t>
      </w:r>
    </w:p>
    <w:p>
      <w:pPr>
        <w:keepNext w:val="0"/>
        <w:keepLines w:val="0"/>
        <w:pageBreakBefore w:val="0"/>
        <w:widowControl/>
        <w:kinsoku/>
        <w:wordWrap/>
        <w:overflowPunct/>
        <w:topLinePunct w:val="0"/>
        <w:autoSpaceDE/>
        <w:autoSpaceDN/>
        <w:bidi w:val="0"/>
        <w:adjustRightInd w:val="0"/>
        <w:snapToGrid w:val="0"/>
        <w:spacing w:line="560" w:lineRule="exact"/>
        <w:ind w:firstLine="480"/>
        <w:textAlignment w:val="auto"/>
        <w:outlineLvl w:val="2"/>
        <w:rPr>
          <w:rFonts w:hint="default" w:ascii="仿宋_GB2312" w:hAnsi="仿宋_GB2312" w:eastAsia="仿宋_GB2312" w:cs="仿宋_GB2312"/>
          <w:b/>
          <w:bCs/>
          <w:strike w:val="0"/>
          <w:dstrike w:val="0"/>
          <w:color w:val="auto"/>
          <w:sz w:val="30"/>
          <w:szCs w:val="30"/>
          <w:lang w:val="en-US" w:eastAsia="zh-CN"/>
        </w:rPr>
      </w:pPr>
      <w:r>
        <w:rPr>
          <w:rFonts w:hint="eastAsia" w:ascii="仿宋_GB2312" w:hAnsi="仿宋_GB2312" w:eastAsia="仿宋_GB2312" w:cs="仿宋_GB2312"/>
          <w:b/>
          <w:bCs/>
          <w:strike w:val="0"/>
          <w:dstrike w:val="0"/>
          <w:color w:val="auto"/>
          <w:sz w:val="30"/>
          <w:szCs w:val="30"/>
          <w:lang w:val="en-US" w:eastAsia="zh-CN"/>
        </w:rPr>
        <w:t>九是为发包人收集整理国家、广东省及深圳市等相关招投标法律法规及政策汇编。</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auto"/>
          <w:sz w:val="30"/>
          <w:szCs w:val="30"/>
          <w:lang w:val="en-US" w:eastAsia="zh-CN"/>
        </w:rPr>
      </w:pPr>
      <w:r>
        <w:rPr>
          <w:rFonts w:hint="eastAsia" w:ascii="楷体_GB2312" w:hAnsi="楷体_GB2312" w:eastAsia="楷体_GB2312" w:cs="楷体_GB2312"/>
          <w:color w:val="auto"/>
          <w:sz w:val="30"/>
          <w:szCs w:val="30"/>
          <w:lang w:val="en-US" w:eastAsia="zh-CN"/>
        </w:rPr>
        <w:t>（二）开展法律知识培训</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根据发包人实际需求，积极主动向发包人提供与业务活动相关的法律、法规及有关政策文件解读，为发包人干部职工提供法律培训，协助发包人开展法治宣传教育，提高发包人干部职工的法律素养。根据发包人要求，负责联系与发包人各项业务领域有关实务专家、学者教授等为发包人提供法律知识讲座，不超过3次，法律知识讲座所需费用包含在本合同价款内。</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auto"/>
          <w:sz w:val="30"/>
          <w:szCs w:val="30"/>
          <w:lang w:val="en-US" w:eastAsia="zh-CN"/>
        </w:rPr>
      </w:pPr>
      <w:r>
        <w:rPr>
          <w:rFonts w:hint="eastAsia" w:ascii="楷体_GB2312" w:hAnsi="楷体_GB2312" w:eastAsia="楷体_GB2312" w:cs="楷体_GB2312"/>
          <w:color w:val="auto"/>
          <w:sz w:val="30"/>
          <w:szCs w:val="30"/>
          <w:lang w:val="en-US" w:eastAsia="zh-CN"/>
        </w:rPr>
        <w:t>（三）协助信访与矛盾纠纷化解</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为发包人信访事项处理提供全程法律支持，具体包括但不限于为信访事项出具书面法律意见，引导信访人依法维权；参与信访事项处理专题会议，提供法律咨询意见；修订、审核信访事项回复文件和相关解纷协议；</w:t>
      </w:r>
      <w:r>
        <w:rPr>
          <w:rFonts w:hint="eastAsia" w:ascii="仿宋_GB2312" w:hAnsi="仿宋_GB2312" w:eastAsia="仿宋_GB2312" w:cs="仿宋_GB2312"/>
          <w:b/>
          <w:bCs/>
          <w:color w:val="auto"/>
          <w:sz w:val="30"/>
          <w:szCs w:val="30"/>
          <w:lang w:val="en-US" w:eastAsia="zh-CN"/>
        </w:rPr>
        <w:t>对常规调解无法化解的复杂纠纷，牵头开展法理研判，全程协助引导信访人完成仲裁或诉讼程序；为发包人的非重大诉讼或仲裁案件提供答辩意见，起草或审核和解协议，指导、协助项目组出庭应诉；</w:t>
      </w:r>
      <w:r>
        <w:rPr>
          <w:rFonts w:hint="eastAsia" w:ascii="仿宋_GB2312" w:hAnsi="仿宋_GB2312" w:eastAsia="仿宋_GB2312" w:cs="仿宋_GB2312"/>
          <w:color w:val="auto"/>
          <w:sz w:val="30"/>
          <w:szCs w:val="30"/>
          <w:lang w:val="en-US" w:eastAsia="zh-CN"/>
        </w:rPr>
        <w:t>协助完成与信访事项相关的其他法律事务。</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auto"/>
          <w:sz w:val="30"/>
          <w:szCs w:val="30"/>
          <w:lang w:val="en-US" w:eastAsia="zh-CN"/>
        </w:rPr>
      </w:pPr>
      <w:r>
        <w:rPr>
          <w:rFonts w:hint="eastAsia" w:ascii="楷体_GB2312" w:hAnsi="楷体_GB2312" w:eastAsia="楷体_GB2312" w:cs="楷体_GB2312"/>
          <w:color w:val="auto"/>
          <w:sz w:val="30"/>
          <w:szCs w:val="30"/>
          <w:lang w:val="en-US" w:eastAsia="zh-CN"/>
        </w:rPr>
        <w:t>（四）突发事件应急处置</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参与和发包人相关的突发事件应急处置工作，提供全程法律支持，降低舆情和法律风险。</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楷体_GB2312" w:hAnsi="楷体_GB2312" w:eastAsia="楷体_GB2312" w:cs="楷体_GB2312"/>
          <w:color w:val="auto"/>
          <w:sz w:val="30"/>
          <w:szCs w:val="30"/>
          <w:lang w:val="en-US" w:eastAsia="zh-CN"/>
        </w:rPr>
      </w:pPr>
      <w:r>
        <w:rPr>
          <w:rFonts w:hint="eastAsia" w:ascii="楷体_GB2312" w:hAnsi="楷体_GB2312" w:eastAsia="楷体_GB2312" w:cs="楷体_GB2312"/>
          <w:color w:val="auto"/>
          <w:sz w:val="30"/>
          <w:szCs w:val="30"/>
          <w:lang w:val="en-US" w:eastAsia="zh-CN"/>
        </w:rPr>
        <w:t>（五）健全法律风险防控机制</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承包人作为发包人的常年法律顾问应深入了解和熟悉发包人的日常工作和管理事务特点，积极主动为发包人工作事务决策进行法律风险提示，提出解决方案或建议报告，有效防控发包人法律风险。同时，承包人作为常年法律顾问应对发包人的日常法律事务处理和重大事项决策机制提出改进优化措施和合理化建议，进一步健全发包人风险防控机制。</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黑体" w:hAnsi="黑体" w:eastAsia="黑体" w:cs="黑体"/>
          <w:color w:val="auto"/>
          <w:sz w:val="30"/>
          <w:szCs w:val="30"/>
          <w:lang w:val="en-US" w:eastAsia="zh-CN"/>
        </w:rPr>
      </w:pPr>
      <w:r>
        <w:rPr>
          <w:rFonts w:hint="eastAsia" w:ascii="黑体" w:hAnsi="黑体" w:eastAsia="黑体" w:cs="黑体"/>
          <w:color w:val="auto"/>
          <w:sz w:val="30"/>
          <w:szCs w:val="30"/>
          <w:lang w:val="en-US" w:eastAsia="zh-CN"/>
        </w:rPr>
        <w:t>二、专项法律服务</w:t>
      </w:r>
    </w:p>
    <w:p>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00" w:firstLineChars="200"/>
        <w:textAlignment w:val="auto"/>
        <w:outlineLvl w:val="2"/>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涉法律诉讼、仲裁等专项法律服务由双方在依法合规前提下另行签订法律服务合同，所需费用由发包人另行支付。同时，发包人亦有权委托其他机构实施上述专项法律服务。</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textAlignment w:val="auto"/>
        <w:outlineLvl w:val="2"/>
        <w:rPr>
          <w:rFonts w:hint="eastAsia" w:ascii="黑体" w:hAnsi="黑体" w:eastAsia="黑体" w:cs="黑体"/>
          <w:b w:val="0"/>
          <w:bCs w:val="0"/>
          <w:color w:val="auto"/>
          <w:sz w:val="30"/>
          <w:szCs w:val="30"/>
        </w:rPr>
      </w:pPr>
      <w:r>
        <w:rPr>
          <w:rFonts w:hint="eastAsia" w:ascii="黑体" w:hAnsi="黑体" w:eastAsia="黑体" w:cs="黑体"/>
          <w:b w:val="0"/>
          <w:bCs w:val="0"/>
          <w:color w:val="auto"/>
          <w:sz w:val="30"/>
          <w:szCs w:val="30"/>
          <w:lang w:eastAsia="zh-CN"/>
        </w:rPr>
        <w:t>三、</w:t>
      </w:r>
      <w:r>
        <w:rPr>
          <w:rFonts w:hint="eastAsia" w:ascii="黑体" w:hAnsi="黑体" w:eastAsia="黑体" w:cs="黑体"/>
          <w:b w:val="0"/>
          <w:bCs w:val="0"/>
          <w:color w:val="auto"/>
          <w:sz w:val="30"/>
          <w:szCs w:val="30"/>
        </w:rPr>
        <w:t>服务响应时间要求</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1.</w:t>
      </w:r>
      <w:r>
        <w:rPr>
          <w:rFonts w:hint="eastAsia" w:ascii="仿宋_GB2312" w:hAnsi="仿宋_GB2312" w:eastAsia="仿宋_GB2312" w:cs="仿宋_GB2312"/>
          <w:color w:val="auto"/>
          <w:sz w:val="30"/>
          <w:szCs w:val="30"/>
          <w:lang w:eastAsia="zh-CN"/>
        </w:rPr>
        <w:t>承包人</w:t>
      </w:r>
      <w:r>
        <w:rPr>
          <w:rFonts w:hint="eastAsia" w:ascii="仿宋_GB2312" w:hAnsi="仿宋_GB2312" w:eastAsia="仿宋_GB2312" w:cs="仿宋_GB2312"/>
          <w:color w:val="auto"/>
          <w:sz w:val="30"/>
          <w:szCs w:val="30"/>
        </w:rPr>
        <w:t>须提供常设每周7天×24小时服务专线，</w:t>
      </w:r>
      <w:r>
        <w:rPr>
          <w:rFonts w:hint="eastAsia" w:ascii="仿宋_GB2312" w:hAnsi="仿宋_GB2312" w:eastAsia="仿宋_GB2312" w:cs="仿宋_GB2312"/>
          <w:color w:val="auto"/>
          <w:sz w:val="30"/>
          <w:szCs w:val="30"/>
          <w:lang w:eastAsia="zh-CN"/>
        </w:rPr>
        <w:t>发包人在工作时间</w:t>
      </w:r>
      <w:r>
        <w:rPr>
          <w:rFonts w:hint="eastAsia" w:ascii="仿宋_GB2312" w:hAnsi="仿宋_GB2312" w:eastAsia="仿宋_GB2312" w:cs="仿宋_GB2312"/>
          <w:color w:val="auto"/>
          <w:sz w:val="30"/>
          <w:szCs w:val="30"/>
        </w:rPr>
        <w:t>可随时与本项目服务律师联系，咨询法律</w:t>
      </w:r>
      <w:r>
        <w:rPr>
          <w:rFonts w:hint="eastAsia" w:ascii="仿宋_GB2312" w:hAnsi="仿宋_GB2312" w:eastAsia="仿宋_GB2312" w:cs="仿宋_GB2312"/>
          <w:color w:val="auto"/>
          <w:sz w:val="30"/>
          <w:szCs w:val="30"/>
          <w:lang w:eastAsia="zh-CN"/>
        </w:rPr>
        <w:t>事务。</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lang w:eastAsia="zh-CN"/>
        </w:rPr>
        <w:t>承包人</w:t>
      </w:r>
      <w:r>
        <w:rPr>
          <w:rFonts w:hint="eastAsia" w:ascii="仿宋_GB2312" w:hAnsi="仿宋_GB2312" w:eastAsia="仿宋_GB2312" w:cs="仿宋_GB2312"/>
          <w:color w:val="auto"/>
          <w:sz w:val="30"/>
          <w:szCs w:val="30"/>
        </w:rPr>
        <w:t>向</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提供法律信息应主动、及时、完整、准确</w:t>
      </w:r>
      <w:r>
        <w:rPr>
          <w:rFonts w:hint="eastAsia" w:ascii="仿宋_GB2312" w:hAnsi="仿宋_GB2312" w:eastAsia="仿宋_GB2312" w:cs="仿宋_GB2312"/>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对</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的服务通知，项目服务律师需在接报后立即响应</w:t>
      </w:r>
      <w:r>
        <w:rPr>
          <w:rFonts w:hint="eastAsia" w:ascii="仿宋_GB2312" w:hAnsi="仿宋_GB2312" w:eastAsia="仿宋_GB2312" w:cs="仿宋_GB2312"/>
          <w:color w:val="auto"/>
          <w:sz w:val="30"/>
          <w:szCs w:val="30"/>
          <w:lang w:eastAsia="zh-CN"/>
        </w:rPr>
        <w:t>，具体要求如下：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①可以即时解答</w:t>
      </w:r>
      <w:r>
        <w:rPr>
          <w:rFonts w:hint="eastAsia" w:ascii="仿宋_GB2312" w:hAnsi="仿宋_GB2312" w:eastAsia="仿宋_GB2312" w:cs="仿宋_GB2312"/>
          <w:color w:val="auto"/>
          <w:sz w:val="30"/>
          <w:szCs w:val="30"/>
          <w:lang w:eastAsia="zh-CN"/>
        </w:rPr>
        <w:t>应</w:t>
      </w:r>
      <w:r>
        <w:rPr>
          <w:rFonts w:hint="eastAsia" w:ascii="仿宋_GB2312" w:hAnsi="仿宋_GB2312" w:eastAsia="仿宋_GB2312" w:cs="仿宋_GB2312"/>
          <w:color w:val="auto"/>
          <w:sz w:val="30"/>
          <w:szCs w:val="30"/>
        </w:rPr>
        <w:t>即时解答，不能即时解答且时间紧急的必须按</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要求时间及时解答，其他情况下原则上应在接报后一个工作日内解答；</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②如</w:t>
      </w:r>
      <w:r>
        <w:rPr>
          <w:rFonts w:hint="eastAsia" w:ascii="仿宋_GB2312" w:hAnsi="仿宋_GB2312" w:eastAsia="仿宋_GB2312" w:cs="仿宋_GB2312"/>
          <w:color w:val="auto"/>
          <w:sz w:val="30"/>
          <w:szCs w:val="30"/>
          <w:lang w:eastAsia="zh-CN"/>
        </w:rPr>
        <w:t>现场服务</w:t>
      </w:r>
      <w:r>
        <w:rPr>
          <w:rFonts w:hint="eastAsia" w:ascii="仿宋_GB2312" w:hAnsi="仿宋_GB2312" w:eastAsia="仿宋_GB2312" w:cs="仿宋_GB2312"/>
          <w:color w:val="auto"/>
          <w:sz w:val="30"/>
          <w:szCs w:val="30"/>
        </w:rPr>
        <w:t>人员无法胜任，需</w:t>
      </w:r>
      <w:r>
        <w:rPr>
          <w:rFonts w:hint="eastAsia" w:ascii="仿宋_GB2312" w:hAnsi="仿宋_GB2312" w:eastAsia="仿宋_GB2312" w:cs="仿宋_GB2312"/>
          <w:color w:val="auto"/>
          <w:sz w:val="30"/>
          <w:szCs w:val="30"/>
          <w:lang w:eastAsia="zh-CN"/>
        </w:rPr>
        <w:t>项目负责人或主办</w:t>
      </w:r>
      <w:r>
        <w:rPr>
          <w:rFonts w:hint="eastAsia" w:ascii="仿宋_GB2312" w:hAnsi="仿宋_GB2312" w:eastAsia="仿宋_GB2312" w:cs="仿宋_GB2312"/>
          <w:color w:val="auto"/>
          <w:sz w:val="30"/>
          <w:szCs w:val="30"/>
        </w:rPr>
        <w:t>律师现场服务的，应按</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的服务时间要求提前10分钟到达现场；</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③需要提供书面咨询意见、咨询成果资料或出具书面法律意见、报告及其他法律文书的，应在接报后</w:t>
      </w:r>
      <w:r>
        <w:rPr>
          <w:rFonts w:hint="eastAsia" w:ascii="仿宋_GB2312" w:hAnsi="仿宋_GB2312" w:eastAsia="仿宋_GB2312" w:cs="仿宋_GB2312"/>
          <w:color w:val="auto"/>
          <w:sz w:val="30"/>
          <w:szCs w:val="30"/>
          <w:lang w:eastAsia="zh-CN"/>
        </w:rPr>
        <w:t>不超过三</w:t>
      </w:r>
      <w:r>
        <w:rPr>
          <w:rFonts w:hint="eastAsia" w:ascii="仿宋_GB2312" w:hAnsi="仿宋_GB2312" w:eastAsia="仿宋_GB2312" w:cs="仿宋_GB2312"/>
          <w:color w:val="auto"/>
          <w:sz w:val="30"/>
          <w:szCs w:val="30"/>
        </w:rPr>
        <w:t>个工作日内完成并提交</w:t>
      </w:r>
      <w:r>
        <w:rPr>
          <w:rFonts w:hint="eastAsia" w:ascii="仿宋_GB2312" w:hAnsi="仿宋_GB2312" w:eastAsia="仿宋_GB2312" w:cs="仿宋_GB2312"/>
          <w:color w:val="auto"/>
          <w:sz w:val="30"/>
          <w:szCs w:val="30"/>
          <w:lang w:eastAsia="zh-CN"/>
        </w:rPr>
        <w:t>发包人。</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情况紧急的，</w:t>
      </w:r>
      <w:r>
        <w:rPr>
          <w:rFonts w:hint="eastAsia" w:ascii="仿宋_GB2312" w:hAnsi="仿宋_GB2312" w:eastAsia="仿宋_GB2312" w:cs="仿宋_GB2312"/>
          <w:color w:val="auto"/>
          <w:sz w:val="30"/>
          <w:szCs w:val="30"/>
          <w:lang w:eastAsia="zh-CN"/>
        </w:rPr>
        <w:t>本项目</w:t>
      </w:r>
      <w:r>
        <w:rPr>
          <w:rFonts w:hint="eastAsia" w:ascii="仿宋_GB2312" w:hAnsi="仿宋_GB2312" w:eastAsia="仿宋_GB2312" w:cs="仿宋_GB2312"/>
          <w:color w:val="auto"/>
          <w:sz w:val="30"/>
          <w:szCs w:val="30"/>
        </w:rPr>
        <w:t>服务律师应积极配合</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的需求根据工作实际及时完成</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交办的事务。</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5.</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有权要求</w:t>
      </w:r>
      <w:r>
        <w:rPr>
          <w:rFonts w:hint="eastAsia" w:ascii="仿宋_GB2312" w:hAnsi="仿宋_GB2312" w:eastAsia="仿宋_GB2312" w:cs="仿宋_GB2312"/>
          <w:color w:val="auto"/>
          <w:sz w:val="30"/>
          <w:szCs w:val="30"/>
          <w:lang w:eastAsia="zh-CN"/>
        </w:rPr>
        <w:t>承包人</w:t>
      </w:r>
      <w:r>
        <w:rPr>
          <w:rFonts w:hint="eastAsia" w:ascii="仿宋_GB2312" w:hAnsi="仿宋_GB2312" w:eastAsia="仿宋_GB2312" w:cs="仿宋_GB2312"/>
          <w:color w:val="auto"/>
          <w:sz w:val="30"/>
          <w:szCs w:val="30"/>
        </w:rPr>
        <w:t>通报工作进程。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6.</w:t>
      </w:r>
      <w:r>
        <w:rPr>
          <w:rFonts w:hint="eastAsia" w:ascii="仿宋_GB2312" w:hAnsi="仿宋_GB2312" w:eastAsia="仿宋_GB2312" w:cs="仿宋_GB2312"/>
          <w:color w:val="auto"/>
          <w:sz w:val="30"/>
          <w:szCs w:val="30"/>
        </w:rPr>
        <w:t>在</w:t>
      </w:r>
      <w:r>
        <w:rPr>
          <w:rFonts w:hint="eastAsia" w:ascii="仿宋_GB2312" w:hAnsi="仿宋_GB2312" w:eastAsia="仿宋_GB2312" w:cs="仿宋_GB2312"/>
          <w:color w:val="auto"/>
          <w:sz w:val="30"/>
          <w:szCs w:val="30"/>
          <w:lang w:eastAsia="zh-CN"/>
        </w:rPr>
        <w:t>发包人</w:t>
      </w:r>
      <w:r>
        <w:rPr>
          <w:rFonts w:hint="eastAsia" w:ascii="仿宋_GB2312" w:hAnsi="仿宋_GB2312" w:eastAsia="仿宋_GB2312" w:cs="仿宋_GB2312"/>
          <w:color w:val="auto"/>
          <w:sz w:val="30"/>
          <w:szCs w:val="30"/>
        </w:rPr>
        <w:t>业务活动中，遇有重大或突发法律事件出现时，</w:t>
      </w:r>
      <w:r>
        <w:rPr>
          <w:rFonts w:hint="eastAsia" w:ascii="仿宋_GB2312" w:hAnsi="仿宋_GB2312" w:eastAsia="仿宋_GB2312" w:cs="仿宋_GB2312"/>
          <w:color w:val="auto"/>
          <w:sz w:val="30"/>
          <w:szCs w:val="30"/>
          <w:lang w:eastAsia="zh-CN"/>
        </w:rPr>
        <w:t>承包人</w:t>
      </w:r>
      <w:r>
        <w:rPr>
          <w:rFonts w:hint="eastAsia" w:ascii="仿宋_GB2312" w:hAnsi="仿宋_GB2312" w:eastAsia="仿宋_GB2312" w:cs="仿宋_GB2312"/>
          <w:color w:val="auto"/>
          <w:sz w:val="30"/>
          <w:szCs w:val="30"/>
        </w:rPr>
        <w:t>应根据通知保证</w:t>
      </w:r>
      <w:r>
        <w:rPr>
          <w:rFonts w:hint="eastAsia" w:ascii="仿宋_GB2312" w:hAnsi="仿宋_GB2312" w:eastAsia="仿宋_GB2312" w:cs="仿宋_GB2312"/>
          <w:color w:val="auto"/>
          <w:sz w:val="30"/>
          <w:szCs w:val="30"/>
          <w:lang w:eastAsia="zh-CN"/>
        </w:rPr>
        <w:t>指</w:t>
      </w:r>
      <w:r>
        <w:rPr>
          <w:rFonts w:hint="eastAsia" w:ascii="仿宋_GB2312" w:hAnsi="仿宋_GB2312" w:eastAsia="仿宋_GB2312" w:cs="仿宋_GB2312"/>
          <w:color w:val="auto"/>
          <w:sz w:val="30"/>
          <w:szCs w:val="30"/>
        </w:rPr>
        <w:t>派律师到场，</w:t>
      </w:r>
      <w:r>
        <w:rPr>
          <w:rFonts w:hint="eastAsia" w:ascii="仿宋_GB2312" w:hAnsi="仿宋_GB2312" w:eastAsia="仿宋_GB2312" w:cs="仿宋_GB2312"/>
          <w:color w:val="auto"/>
          <w:sz w:val="30"/>
          <w:szCs w:val="30"/>
          <w:lang w:eastAsia="zh-CN"/>
        </w:rPr>
        <w:t>协助</w:t>
      </w:r>
      <w:r>
        <w:rPr>
          <w:rFonts w:hint="eastAsia" w:ascii="仿宋_GB2312" w:hAnsi="仿宋_GB2312" w:eastAsia="仿宋_GB2312" w:cs="仿宋_GB2312"/>
          <w:color w:val="auto"/>
          <w:sz w:val="30"/>
          <w:szCs w:val="30"/>
        </w:rPr>
        <w:t>处理有关事务。</w:t>
      </w:r>
    </w:p>
    <w:p>
      <w:pPr>
        <w:keepNext w:val="0"/>
        <w:keepLines w:val="0"/>
        <w:pageBreakBefore w:val="0"/>
        <w:widowControl/>
        <w:kinsoku/>
        <w:wordWrap/>
        <w:overflowPunct/>
        <w:topLinePunct w:val="0"/>
        <w:autoSpaceDE/>
        <w:autoSpaceDN/>
        <w:bidi w:val="0"/>
        <w:adjustRightInd w:val="0"/>
        <w:snapToGrid w:val="0"/>
        <w:spacing w:line="560" w:lineRule="exact"/>
        <w:ind w:firstLine="600" w:firstLineChars="200"/>
        <w:textAlignment w:val="auto"/>
        <w:outlineLvl w:val="1"/>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eastAsia="zh-CN"/>
        </w:rPr>
        <w:t>四、</w:t>
      </w:r>
      <w:r>
        <w:rPr>
          <w:rFonts w:hint="eastAsia" w:ascii="黑体" w:hAnsi="黑体" w:eastAsia="黑体" w:cs="黑体"/>
          <w:b w:val="0"/>
          <w:bCs/>
          <w:color w:val="auto"/>
          <w:sz w:val="30"/>
          <w:szCs w:val="30"/>
        </w:rPr>
        <w:t>服务期限</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outlineLvl w:val="2"/>
        <w:rPr>
          <w:rFonts w:hint="default" w:ascii="仿宋_GB2312" w:hAnsi="仿宋_GB2312" w:eastAsia="仿宋_GB2312" w:cs="仿宋_GB2312"/>
          <w:color w:val="auto"/>
          <w:sz w:val="30"/>
          <w:szCs w:val="30"/>
          <w:highlight w:val="none"/>
        </w:rPr>
      </w:pPr>
      <w:r>
        <w:rPr>
          <w:rFonts w:hint="default" w:ascii="仿宋_GB2312" w:hAnsi="仿宋_GB2312" w:eastAsia="仿宋_GB2312" w:cs="仿宋_GB2312"/>
          <w:color w:val="auto"/>
          <w:sz w:val="30"/>
          <w:szCs w:val="30"/>
          <w:highlight w:val="none"/>
        </w:rPr>
        <w:t>本项目服务期自合同生效之日起1年。本项目为长期服务项目，为了保证法律服务的连续性和质量，中标单位单个合同服务期内前三个季度履约评价为良好及以上可向招标人申请续签合同，每次续签合同服务期不超过一年，续签次数不超过两次，合同实质性条款不得改变。</w:t>
      </w:r>
    </w:p>
    <w:p>
      <w:pPr>
        <w:keepNext w:val="0"/>
        <w:keepLines w:val="0"/>
        <w:pageBreakBefore w:val="0"/>
        <w:widowControl/>
        <w:kinsoku/>
        <w:wordWrap/>
        <w:overflowPunct/>
        <w:topLinePunct w:val="0"/>
        <w:autoSpaceDE/>
        <w:autoSpaceDN/>
        <w:bidi w:val="0"/>
        <w:adjustRightInd w:val="0"/>
        <w:snapToGrid w:val="0"/>
        <w:spacing w:line="560" w:lineRule="exact"/>
        <w:ind w:firstLine="560"/>
        <w:textAlignment w:val="auto"/>
        <w:outlineLvl w:val="1"/>
        <w:rPr>
          <w:rFonts w:hint="eastAsia" w:ascii="黑体" w:hAnsi="黑体" w:eastAsia="黑体" w:cs="黑体"/>
          <w:b w:val="0"/>
          <w:bCs/>
          <w:color w:val="auto"/>
          <w:sz w:val="30"/>
          <w:szCs w:val="30"/>
        </w:rPr>
      </w:pPr>
      <w:r>
        <w:rPr>
          <w:rFonts w:hint="eastAsia" w:ascii="黑体" w:hAnsi="黑体" w:eastAsia="黑体" w:cs="黑体"/>
          <w:b w:val="0"/>
          <w:bCs/>
          <w:color w:val="auto"/>
          <w:sz w:val="30"/>
          <w:szCs w:val="30"/>
          <w:lang w:eastAsia="zh-CN"/>
        </w:rPr>
        <w:t>五、合同价款</w:t>
      </w:r>
      <w:r>
        <w:rPr>
          <w:rFonts w:hint="eastAsia" w:ascii="黑体" w:hAnsi="黑体" w:eastAsia="黑体" w:cs="黑体"/>
          <w:b w:val="0"/>
          <w:bCs/>
          <w:color w:val="auto"/>
          <w:sz w:val="30"/>
          <w:szCs w:val="30"/>
        </w:rPr>
        <w:t>及支付</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b/>
          <w:bCs/>
          <w:color w:val="auto"/>
          <w:sz w:val="30"/>
          <w:szCs w:val="30"/>
        </w:rPr>
        <w:t>1.</w:t>
      </w:r>
      <w:r>
        <w:rPr>
          <w:rFonts w:hint="eastAsia" w:ascii="仿宋_GB2312" w:hAnsi="仿宋_GB2312" w:eastAsia="仿宋_GB2312" w:cs="仿宋_GB2312"/>
          <w:b/>
          <w:bCs/>
          <w:color w:val="auto"/>
          <w:sz w:val="30"/>
          <w:szCs w:val="30"/>
          <w:lang w:eastAsia="zh-CN"/>
        </w:rPr>
        <w:t>合同价款</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本合同项下总价款为固定价</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合同总价</w:t>
      </w:r>
      <w:r>
        <w:rPr>
          <w:rFonts w:hint="eastAsia" w:ascii="仿宋_GB2312" w:hAnsi="仿宋_GB2312" w:eastAsia="仿宋_GB2312" w:cs="仿宋_GB2312"/>
          <w:color w:val="auto"/>
          <w:sz w:val="30"/>
          <w:szCs w:val="30"/>
          <w:lang w:eastAsia="zh-CN"/>
        </w:rPr>
        <w:t>共计</w:t>
      </w:r>
      <w:r>
        <w:rPr>
          <w:rFonts w:hint="eastAsia" w:ascii="仿宋_GB2312" w:hAnsi="仿宋_GB2312" w:eastAsia="仿宋_GB2312" w:cs="仿宋_GB2312"/>
          <w:color w:val="auto"/>
          <w:sz w:val="30"/>
          <w:szCs w:val="30"/>
        </w:rPr>
        <w:t>人民币</w:t>
      </w:r>
      <w:r>
        <w:rPr>
          <w:rFonts w:hint="eastAsia" w:ascii="仿宋_GB2312" w:hAnsi="仿宋_GB2312" w:eastAsia="仿宋_GB2312" w:cs="仿宋_GB2312"/>
          <w:color w:val="auto"/>
          <w:sz w:val="30"/>
          <w:szCs w:val="30"/>
          <w:u w:val="single"/>
          <w:lang w:val="en-US" w:eastAsia="zh-CN"/>
        </w:rPr>
        <w:t xml:space="preserve">        </w:t>
      </w:r>
      <w:r>
        <w:rPr>
          <w:rFonts w:hint="eastAsia" w:ascii="仿宋_GB2312" w:hAnsi="仿宋_GB2312" w:eastAsia="仿宋_GB2312" w:cs="仿宋_GB2312"/>
          <w:color w:val="auto"/>
          <w:sz w:val="30"/>
          <w:szCs w:val="30"/>
        </w:rPr>
        <w:t>元（小写：¥</w:t>
      </w:r>
      <w:r>
        <w:rPr>
          <w:rFonts w:hint="eastAsia" w:ascii="仿宋_GB2312" w:hAnsi="仿宋_GB2312" w:eastAsia="仿宋_GB2312" w:cs="仿宋_GB2312"/>
          <w:color w:val="auto"/>
          <w:sz w:val="30"/>
          <w:szCs w:val="30"/>
          <w:u w:val="single"/>
        </w:rPr>
        <w:t xml:space="preserve"> </w:t>
      </w:r>
      <w:r>
        <w:rPr>
          <w:rFonts w:hint="eastAsia" w:ascii="仿宋_GB2312" w:hAnsi="仿宋_GB2312" w:eastAsia="仿宋_GB2312" w:cs="仿宋_GB2312"/>
          <w:color w:val="auto"/>
          <w:sz w:val="30"/>
          <w:szCs w:val="30"/>
          <w:u w:val="single"/>
          <w:lang w:val="en-US" w:eastAsia="zh-CN"/>
        </w:rPr>
        <w:t xml:space="preserve">      </w:t>
      </w:r>
      <w:r>
        <w:rPr>
          <w:rFonts w:hint="eastAsia" w:ascii="仿宋_GB2312" w:hAnsi="仿宋_GB2312" w:eastAsia="仿宋_GB2312" w:cs="仿宋_GB2312"/>
          <w:color w:val="auto"/>
          <w:sz w:val="30"/>
          <w:szCs w:val="30"/>
          <w:u w:val="single"/>
        </w:rPr>
        <w:t xml:space="preserve"> </w:t>
      </w:r>
      <w:r>
        <w:rPr>
          <w:rFonts w:hint="eastAsia" w:ascii="仿宋_GB2312" w:hAnsi="仿宋_GB2312" w:eastAsia="仿宋_GB2312" w:cs="仿宋_GB2312"/>
          <w:color w:val="auto"/>
          <w:sz w:val="30"/>
          <w:szCs w:val="30"/>
          <w:u w:val="none"/>
          <w:lang w:eastAsia="zh-CN"/>
        </w:rPr>
        <w:t>，此处合同总价为中标价</w:t>
      </w:r>
      <w:r>
        <w:rPr>
          <w:rFonts w:hint="eastAsia" w:ascii="仿宋_GB2312" w:hAnsi="仿宋_GB2312" w:eastAsia="仿宋_GB2312" w:cs="仿宋_GB2312"/>
          <w:color w:val="auto"/>
          <w:sz w:val="30"/>
          <w:szCs w:val="30"/>
        </w:rPr>
        <w:t>）。该合同价款包括完成</w:t>
      </w:r>
      <w:r>
        <w:rPr>
          <w:rFonts w:hint="eastAsia" w:ascii="仿宋_GB2312" w:hAnsi="仿宋_GB2312" w:eastAsia="仿宋_GB2312" w:cs="仿宋_GB2312"/>
          <w:color w:val="auto"/>
          <w:sz w:val="30"/>
          <w:szCs w:val="30"/>
          <w:lang w:val="en-US" w:eastAsia="zh-CN"/>
        </w:rPr>
        <w:t>合同所有服务内容</w:t>
      </w:r>
      <w:r>
        <w:rPr>
          <w:rFonts w:hint="eastAsia" w:ascii="仿宋_GB2312" w:hAnsi="仿宋_GB2312" w:eastAsia="仿宋_GB2312" w:cs="仿宋_GB2312"/>
          <w:color w:val="auto"/>
          <w:sz w:val="30"/>
          <w:szCs w:val="30"/>
        </w:rPr>
        <w:t>的全部费用，</w:t>
      </w:r>
      <w:r>
        <w:rPr>
          <w:rFonts w:hint="eastAsia" w:ascii="仿宋_GB2312" w:hAnsi="仿宋_GB2312" w:eastAsia="仿宋_GB2312" w:cs="仿宋_GB2312"/>
          <w:color w:val="auto"/>
          <w:sz w:val="30"/>
          <w:szCs w:val="30"/>
          <w:lang w:val="en-US" w:eastAsia="zh-CN"/>
        </w:rPr>
        <w:t>包括但不限于所需人工费、税费和其他费用</w:t>
      </w:r>
      <w:r>
        <w:rPr>
          <w:rFonts w:hint="eastAsia" w:ascii="仿宋_GB2312" w:hAnsi="仿宋_GB2312" w:eastAsia="仿宋_GB2312" w:cs="仿宋_GB2312"/>
          <w:color w:val="auto"/>
          <w:sz w:val="30"/>
          <w:szCs w:val="30"/>
        </w:rPr>
        <w:t>。</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b/>
          <w:bCs/>
          <w:color w:val="auto"/>
          <w:sz w:val="30"/>
          <w:szCs w:val="30"/>
        </w:rPr>
        <w:t>合同</w:t>
      </w:r>
      <w:r>
        <w:rPr>
          <w:rFonts w:hint="eastAsia" w:ascii="仿宋_GB2312" w:hAnsi="仿宋_GB2312" w:eastAsia="仿宋_GB2312" w:cs="仿宋_GB2312"/>
          <w:b/>
          <w:bCs/>
          <w:color w:val="auto"/>
          <w:sz w:val="30"/>
          <w:szCs w:val="30"/>
          <w:lang w:eastAsia="zh-CN"/>
        </w:rPr>
        <w:t>价款支付方式</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本合同总价款分</w:t>
      </w:r>
      <w:r>
        <w:rPr>
          <w:rFonts w:hint="eastAsia" w:ascii="仿宋_GB2312" w:hAnsi="仿宋_GB2312" w:eastAsia="仿宋_GB2312" w:cs="仿宋_GB2312"/>
          <w:color w:val="000000"/>
          <w:sz w:val="30"/>
          <w:szCs w:val="30"/>
          <w:u w:val="none"/>
          <w:lang w:val="en-US" w:eastAsia="zh-CN"/>
        </w:rPr>
        <w:t>三</w:t>
      </w:r>
      <w:r>
        <w:rPr>
          <w:rFonts w:hint="eastAsia" w:ascii="仿宋_GB2312" w:hAnsi="仿宋_GB2312" w:eastAsia="仿宋_GB2312" w:cs="仿宋_GB2312"/>
          <w:color w:val="000000" w:themeColor="text1"/>
          <w:sz w:val="30"/>
          <w:szCs w:val="30"/>
          <w14:textFill>
            <w14:solidFill>
              <w14:schemeClr w14:val="tx1"/>
            </w14:solidFill>
          </w14:textFill>
        </w:rPr>
        <w:t>期付款</w:t>
      </w:r>
      <w:r>
        <w:rPr>
          <w:rFonts w:hint="eastAsia" w:ascii="仿宋_GB2312" w:hAnsi="仿宋_GB2312" w:eastAsia="仿宋_GB2312" w:cs="仿宋_GB2312"/>
          <w:color w:val="000000" w:themeColor="text1"/>
          <w:sz w:val="30"/>
          <w:szCs w:val="30"/>
          <w:lang w:eastAsia="zh-CN"/>
          <w14:textFill>
            <w14:solidFill>
              <w14:schemeClr w14:val="tx1"/>
            </w14:solidFill>
          </w14:textFill>
        </w:rPr>
        <w:t>，具体如下</w:t>
      </w:r>
      <w:r>
        <w:rPr>
          <w:rFonts w:hint="eastAsia" w:ascii="仿宋_GB2312" w:hAnsi="仿宋_GB2312" w:eastAsia="仿宋_GB2312" w:cs="仿宋_GB2312"/>
          <w:color w:val="000000" w:themeColor="text1"/>
          <w:sz w:val="30"/>
          <w:szCs w:val="30"/>
          <w14:textFill>
            <w14:solidFill>
              <w14:schemeClr w14:val="tx1"/>
            </w14:solidFill>
          </w14:textFill>
        </w:rPr>
        <w:t>：</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首期：自合同签订</w:t>
      </w:r>
      <w:r>
        <w:rPr>
          <w:rFonts w:hint="eastAsia" w:ascii="仿宋_GB2312" w:hAnsi="仿宋_GB2312" w:eastAsia="仿宋_GB2312" w:cs="仿宋_GB2312"/>
          <w:color w:val="000000" w:themeColor="text1"/>
          <w:sz w:val="30"/>
          <w:szCs w:val="30"/>
          <w:lang w:eastAsia="zh-CN"/>
          <w14:textFill>
            <w14:solidFill>
              <w14:schemeClr w14:val="tx1"/>
            </w14:solidFill>
          </w14:textFill>
        </w:rPr>
        <w:t>生效</w:t>
      </w:r>
      <w:r>
        <w:rPr>
          <w:rFonts w:hint="eastAsia" w:ascii="仿宋_GB2312" w:hAnsi="仿宋_GB2312" w:eastAsia="仿宋_GB2312" w:cs="仿宋_GB2312"/>
          <w:color w:val="000000" w:themeColor="text1"/>
          <w:sz w:val="30"/>
          <w:szCs w:val="30"/>
          <w14:textFill>
            <w14:solidFill>
              <w14:schemeClr w14:val="tx1"/>
            </w14:solidFill>
          </w14:textFill>
        </w:rPr>
        <w:t>之日起一个月内支付不低于合同总价款</w:t>
      </w:r>
      <w:r>
        <w:rPr>
          <w:rFonts w:hint="default" w:ascii="仿宋_GB2312" w:hAnsi="仿宋_GB2312" w:eastAsia="仿宋_GB2312" w:cs="仿宋_GB2312"/>
          <w:color w:val="000000" w:themeColor="text1"/>
          <w:sz w:val="30"/>
          <w:szCs w:val="30"/>
          <w:lang w:val="en-US"/>
          <w14:textFill>
            <w14:solidFill>
              <w14:schemeClr w14:val="tx1"/>
            </w14:solidFill>
          </w14:textFill>
        </w:rPr>
        <w:t>4</w:t>
      </w:r>
      <w:r>
        <w:rPr>
          <w:rFonts w:hint="eastAsia" w:ascii="仿宋_GB2312" w:hAnsi="仿宋_GB2312" w:eastAsia="仿宋_GB2312" w:cs="仿宋_GB2312"/>
          <w:color w:val="000000" w:themeColor="text1"/>
          <w:sz w:val="30"/>
          <w:szCs w:val="30"/>
          <w14:textFill>
            <w14:solidFill>
              <w14:schemeClr w14:val="tx1"/>
            </w14:solidFill>
          </w14:textFill>
        </w:rPr>
        <w:t>0%比例的款项；</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第二期：6个月服务期结束且</w:t>
      </w:r>
      <w:r>
        <w:rPr>
          <w:rFonts w:hint="eastAsia" w:ascii="仿宋_GB2312" w:hAnsi="仿宋_GB2312" w:eastAsia="仿宋_GB2312" w:cs="仿宋_GB2312"/>
          <w:color w:val="auto"/>
          <w:sz w:val="30"/>
          <w:szCs w:val="30"/>
          <w:lang w:val="en-US" w:eastAsia="zh-CN"/>
        </w:rPr>
        <w:t>承包人</w:t>
      </w:r>
      <w:r>
        <w:rPr>
          <w:rFonts w:hint="eastAsia" w:ascii="仿宋_GB2312" w:hAnsi="仿宋_GB2312" w:eastAsia="仿宋_GB2312" w:cs="仿宋_GB2312"/>
          <w:color w:val="000000" w:themeColor="text1"/>
          <w:sz w:val="30"/>
          <w:szCs w:val="30"/>
          <w14:textFill>
            <w14:solidFill>
              <w14:schemeClr w14:val="tx1"/>
            </w14:solidFill>
          </w14:textFill>
        </w:rPr>
        <w:t>提交经</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发包</w:t>
      </w:r>
      <w:r>
        <w:rPr>
          <w:rFonts w:hint="eastAsia" w:ascii="仿宋_GB2312" w:hAnsi="仿宋_GB2312" w:eastAsia="仿宋_GB2312" w:cs="仿宋_GB2312"/>
          <w:color w:val="000000" w:themeColor="text1"/>
          <w:sz w:val="30"/>
          <w:szCs w:val="30"/>
          <w14:textFill>
            <w14:solidFill>
              <w14:schemeClr w14:val="tx1"/>
            </w14:solidFill>
          </w14:textFill>
        </w:rPr>
        <w:t>人确认的半年度服务总结报告后支付</w:t>
      </w:r>
      <w:r>
        <w:rPr>
          <w:rFonts w:hint="eastAsia" w:ascii="仿宋_GB2312" w:hAnsi="仿宋_GB2312" w:eastAsia="仿宋_GB2312" w:cs="仿宋_GB2312"/>
          <w:color w:val="000000" w:themeColor="text1"/>
          <w:sz w:val="30"/>
          <w:szCs w:val="30"/>
          <w:lang w:eastAsia="zh-CN"/>
          <w14:textFill>
            <w14:solidFill>
              <w14:schemeClr w14:val="tx1"/>
            </w14:solidFill>
          </w14:textFill>
        </w:rPr>
        <w:t>至</w:t>
      </w:r>
      <w:r>
        <w:rPr>
          <w:rFonts w:hint="eastAsia" w:ascii="仿宋_GB2312" w:hAnsi="仿宋_GB2312" w:eastAsia="仿宋_GB2312" w:cs="仿宋_GB2312"/>
          <w:color w:val="000000" w:themeColor="text1"/>
          <w:sz w:val="30"/>
          <w:szCs w:val="30"/>
          <w14:textFill>
            <w14:solidFill>
              <w14:schemeClr w14:val="tx1"/>
            </w14:solidFill>
          </w14:textFill>
        </w:rPr>
        <w:t>本合同总价款的</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9</w:t>
      </w:r>
      <w:r>
        <w:rPr>
          <w:rFonts w:hint="eastAsia" w:ascii="仿宋_GB2312" w:hAnsi="仿宋_GB2312" w:eastAsia="仿宋_GB2312" w:cs="仿宋_GB2312"/>
          <w:color w:val="000000" w:themeColor="text1"/>
          <w:sz w:val="30"/>
          <w:szCs w:val="30"/>
          <w14:textFill>
            <w14:solidFill>
              <w14:schemeClr w14:val="tx1"/>
            </w14:solidFill>
          </w14:textFill>
        </w:rPr>
        <w:t>0%比例的款项；</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第三期：合同总价款的10%为绩效酬金，根据</w:t>
      </w:r>
      <w:r>
        <w:rPr>
          <w:rFonts w:hint="eastAsia" w:ascii="仿宋_GB2312" w:hAnsi="仿宋_GB2312" w:eastAsia="仿宋_GB2312" w:cs="仿宋_GB2312"/>
          <w:color w:val="000000" w:themeColor="text1"/>
          <w:sz w:val="30"/>
          <w:szCs w:val="30"/>
          <w:lang w:eastAsia="zh-CN"/>
          <w14:textFill>
            <w14:solidFill>
              <w14:schemeClr w14:val="tx1"/>
            </w14:solidFill>
          </w14:textFill>
        </w:rPr>
        <w:t>合同服务期前三个季</w:t>
      </w:r>
      <w:r>
        <w:rPr>
          <w:rFonts w:hint="eastAsia" w:ascii="仿宋_GB2312" w:hAnsi="仿宋_GB2312" w:eastAsia="仿宋_GB2312" w:cs="仿宋_GB2312"/>
          <w:color w:val="000000" w:themeColor="text1"/>
          <w:sz w:val="30"/>
          <w:szCs w:val="30"/>
          <w14:textFill>
            <w14:solidFill>
              <w14:schemeClr w14:val="tx1"/>
            </w14:solidFill>
          </w14:textFill>
        </w:rPr>
        <w:t>度履约评价结果支付，履约评价结果为良</w:t>
      </w:r>
      <w:r>
        <w:rPr>
          <w:rFonts w:hint="eastAsia" w:ascii="仿宋_GB2312" w:hAnsi="仿宋_GB2312" w:eastAsia="仿宋_GB2312" w:cs="仿宋_GB2312"/>
          <w:color w:val="000000" w:themeColor="text1"/>
          <w:sz w:val="30"/>
          <w:szCs w:val="30"/>
          <w:lang w:eastAsia="zh-CN"/>
          <w14:textFill>
            <w14:solidFill>
              <w14:schemeClr w14:val="tx1"/>
            </w14:solidFill>
          </w14:textFill>
        </w:rPr>
        <w:t>好</w:t>
      </w:r>
      <w:r>
        <w:rPr>
          <w:rFonts w:hint="eastAsia" w:ascii="仿宋_GB2312" w:hAnsi="仿宋_GB2312" w:eastAsia="仿宋_GB2312" w:cs="仿宋_GB2312"/>
          <w:color w:val="000000" w:themeColor="text1"/>
          <w:sz w:val="30"/>
          <w:szCs w:val="30"/>
          <w14:textFill>
            <w14:solidFill>
              <w14:schemeClr w14:val="tx1"/>
            </w14:solidFill>
          </w14:textFill>
        </w:rPr>
        <w:t>及以上时支付绩效酬金的100%，履约评价结果为合格时支付80%，履约评价结果为不合格时则不予支付（备注：各期费用具体金额将根据中标价确定，首期款应不低于上述支付比例）。</w:t>
      </w:r>
    </w:p>
    <w:p>
      <w:pPr>
        <w:keepNext w:val="0"/>
        <w:keepLines w:val="0"/>
        <w:pageBreakBefore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各期付款前，</w:t>
      </w:r>
      <w:r>
        <w:rPr>
          <w:rFonts w:hint="eastAsia" w:ascii="仿宋_GB2312" w:hAnsi="仿宋_GB2312" w:eastAsia="仿宋_GB2312" w:cs="仿宋_GB2312"/>
          <w:color w:val="auto"/>
          <w:sz w:val="30"/>
          <w:szCs w:val="30"/>
          <w:lang w:val="en-US" w:eastAsia="zh-CN"/>
        </w:rPr>
        <w:t>承包人</w:t>
      </w:r>
      <w:r>
        <w:rPr>
          <w:rFonts w:hint="eastAsia" w:ascii="仿宋_GB2312" w:hAnsi="仿宋_GB2312" w:eastAsia="仿宋_GB2312" w:cs="仿宋_GB2312"/>
          <w:color w:val="000000"/>
          <w:sz w:val="30"/>
          <w:szCs w:val="30"/>
        </w:rPr>
        <w:t>都需向</w:t>
      </w:r>
      <w:r>
        <w:rPr>
          <w:rFonts w:hint="eastAsia" w:ascii="仿宋_GB2312" w:hAnsi="仿宋_GB2312" w:eastAsia="仿宋_GB2312" w:cs="仿宋_GB2312"/>
          <w:color w:val="000000"/>
          <w:sz w:val="30"/>
          <w:szCs w:val="30"/>
          <w:lang w:val="en-US" w:eastAsia="zh-CN"/>
        </w:rPr>
        <w:t>发包</w:t>
      </w:r>
      <w:r>
        <w:rPr>
          <w:rFonts w:hint="eastAsia" w:ascii="仿宋_GB2312" w:hAnsi="仿宋_GB2312" w:eastAsia="仿宋_GB2312" w:cs="仿宋_GB2312"/>
          <w:color w:val="000000"/>
          <w:sz w:val="30"/>
          <w:szCs w:val="30"/>
        </w:rPr>
        <w:t>人提供付款申请书和等额合法有效的发票，</w:t>
      </w:r>
      <w:r>
        <w:rPr>
          <w:rFonts w:hint="eastAsia" w:ascii="仿宋_GB2312" w:hAnsi="仿宋_GB2312" w:eastAsia="仿宋_GB2312" w:cs="仿宋_GB2312"/>
          <w:color w:val="000000"/>
          <w:sz w:val="30"/>
          <w:szCs w:val="30"/>
          <w:lang w:val="en-US" w:eastAsia="zh-CN"/>
        </w:rPr>
        <w:t>发包</w:t>
      </w:r>
      <w:r>
        <w:rPr>
          <w:rFonts w:hint="eastAsia" w:ascii="仿宋_GB2312" w:hAnsi="仿宋_GB2312" w:eastAsia="仿宋_GB2312" w:cs="仿宋_GB2312"/>
          <w:color w:val="000000"/>
          <w:sz w:val="30"/>
          <w:szCs w:val="30"/>
        </w:rPr>
        <w:t>人在收到付款申请书和发票后及时办理完审批手续并予以支付。若因</w:t>
      </w:r>
      <w:r>
        <w:rPr>
          <w:rFonts w:hint="eastAsia" w:ascii="仿宋_GB2312" w:hAnsi="仿宋_GB2312" w:eastAsia="仿宋_GB2312" w:cs="仿宋_GB2312"/>
          <w:color w:val="auto"/>
          <w:sz w:val="30"/>
          <w:szCs w:val="30"/>
          <w:lang w:val="en-US" w:eastAsia="zh-CN"/>
        </w:rPr>
        <w:t>承包人</w:t>
      </w:r>
      <w:r>
        <w:rPr>
          <w:rFonts w:hint="eastAsia" w:ascii="仿宋_GB2312" w:hAnsi="仿宋_GB2312" w:eastAsia="仿宋_GB2312" w:cs="仿宋_GB2312"/>
          <w:color w:val="000000"/>
          <w:sz w:val="30"/>
          <w:szCs w:val="30"/>
        </w:rPr>
        <w:t>原因或年度预算批复等非</w:t>
      </w:r>
      <w:r>
        <w:rPr>
          <w:rFonts w:hint="eastAsia" w:ascii="仿宋_GB2312" w:hAnsi="仿宋_GB2312" w:eastAsia="仿宋_GB2312" w:cs="仿宋_GB2312"/>
          <w:color w:val="000000"/>
          <w:sz w:val="30"/>
          <w:szCs w:val="30"/>
          <w:lang w:val="en-US" w:eastAsia="zh-CN"/>
        </w:rPr>
        <w:t>发包</w:t>
      </w:r>
      <w:r>
        <w:rPr>
          <w:rFonts w:hint="eastAsia" w:ascii="仿宋_GB2312" w:hAnsi="仿宋_GB2312" w:eastAsia="仿宋_GB2312" w:cs="仿宋_GB2312"/>
          <w:color w:val="000000"/>
          <w:sz w:val="30"/>
          <w:szCs w:val="30"/>
        </w:rPr>
        <w:t>人原因导致的迟延支付，</w:t>
      </w:r>
      <w:r>
        <w:rPr>
          <w:rFonts w:hint="eastAsia" w:ascii="仿宋_GB2312" w:hAnsi="仿宋_GB2312" w:eastAsia="仿宋_GB2312" w:cs="仿宋_GB2312"/>
          <w:color w:val="000000"/>
          <w:sz w:val="30"/>
          <w:szCs w:val="30"/>
          <w:lang w:val="en-US" w:eastAsia="zh-CN"/>
        </w:rPr>
        <w:t>发包</w:t>
      </w:r>
      <w:r>
        <w:rPr>
          <w:rFonts w:hint="eastAsia" w:ascii="仿宋_GB2312" w:hAnsi="仿宋_GB2312" w:eastAsia="仿宋_GB2312" w:cs="仿宋_GB2312"/>
          <w:color w:val="000000"/>
          <w:sz w:val="30"/>
          <w:szCs w:val="30"/>
        </w:rPr>
        <w:t>人不承担任何责任，中标</w:t>
      </w:r>
      <w:r>
        <w:rPr>
          <w:rFonts w:hint="eastAsia" w:ascii="仿宋_GB2312" w:hAnsi="仿宋_GB2312" w:eastAsia="仿宋_GB2312" w:cs="仿宋_GB2312"/>
          <w:color w:val="000000"/>
          <w:sz w:val="30"/>
          <w:szCs w:val="30"/>
          <w:lang w:eastAsia="zh-CN"/>
        </w:rPr>
        <w:t>人</w:t>
      </w:r>
      <w:r>
        <w:rPr>
          <w:rFonts w:hint="eastAsia" w:ascii="仿宋_GB2312" w:hAnsi="仿宋_GB2312" w:eastAsia="仿宋_GB2312" w:cs="仿宋_GB2312"/>
          <w:color w:val="000000"/>
          <w:sz w:val="30"/>
          <w:szCs w:val="30"/>
        </w:rPr>
        <w:t>应继续履行相关义务。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textAlignment w:val="auto"/>
        <w:rPr>
          <w:rFonts w:hint="eastAsia"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lang w:val="en-US" w:eastAsia="zh-CN"/>
        </w:rPr>
        <w:t>六、其他重要条款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00" w:firstLineChars="200"/>
        <w:textAlignment w:val="auto"/>
        <w:rPr>
          <w:rFonts w:hint="default"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因本项目为跨年度预算支付项目，基于本项目明年预算存在重大不确定性，如遇本项目明年预算被核减或本项目明年未取得预算资金，承包人应完全理解并同意发包人有权根据本项目明年预算的实际情况调整合同服务期，对此等变化，承包人应无条件配合并保证在此情形下双方互不负违约责任。</w:t>
      </w:r>
    </w:p>
    <w:p>
      <w:pPr>
        <w:keepNext w:val="0"/>
        <w:keepLines w:val="0"/>
        <w:pageBreakBefore w:val="0"/>
        <w:widowControl w:val="0"/>
        <w:snapToGrid w:val="0"/>
        <w:spacing w:before="157" w:beforeLines="50" w:line="560" w:lineRule="exact"/>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Times New Roman Regular">
    <w:altName w:val="Nimbus Roman No9 L"/>
    <w:panose1 w:val="02020503050405090304"/>
    <w:charset w:val="00"/>
    <w:family w:val="auto"/>
    <w:pitch w:val="default"/>
    <w:sig w:usb0="00000000" w:usb1="00000000" w:usb2="00000001" w:usb3="00000000" w:csb0="400001BF" w:csb1="DFF70000"/>
  </w:font>
  <w:font w:name="FreeSerif">
    <w:panose1 w:val="02020603050405020304"/>
    <w:charset w:val="00"/>
    <w:family w:val="auto"/>
    <w:pitch w:val="default"/>
    <w:sig w:usb0="E59FAFFF" w:usb1="C200FDFF" w:usb2="43501B29" w:usb3="04000043" w:csb0="600101FF" w:csb1="FFFF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6350">
                        <a:noFill/>
                        <a:miter/>
                      </a:ln>
                    </wps:spPr>
                    <wps:style>
                      <a:lnRef idx="0">
                        <a:schemeClr val="accent1"/>
                      </a:lnRef>
                      <a:fillRef idx="0">
                        <a:schemeClr val="accent1"/>
                      </a:fillRef>
                      <a:effectRef idx="0">
                        <a:schemeClr val="accent1"/>
                      </a:effectRef>
                      <a:fontRef idx="minor">
                        <a:schemeClr val="dk1"/>
                      </a:fontRef>
                    </wps:style>
                    <wps:txbx>
                      <w:txbxContent>
                        <w:p>
                          <w:pPr>
                            <w:pStyle w:val="18"/>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">
              <v:fill on="f" focussize="0,0"/>
              <v:stroke on="f" weight="0.5pt" joinstyle="miter"/>
              <v:imagedata o:title=""/>
              <o:lock v:ext="edit" aspectratio="f"/>
              <v:textbox inset="0mm,0mm,0mm,0mm" style="mso-fit-shape-to-text:t;">
                <w:txbxContent>
                  <w:p>
                    <w:pPr>
                      <w:pStyle w:val="18"/>
                    </w:pPr>
                    <w:r>
                      <w:t xml:space="preserve">— </w:t>
                    </w:r>
                    <w:r>
                      <w:fldChar w:fldCharType="begin"/>
                    </w:r>
                    <w:r>
                      <w:instrText xml:space="preserve"> PAGE  \* MERGEFORMAT </w:instrText>
                    </w:r>
                    <w:r>
                      <w:fldChar w:fldCharType="separate"/>
                    </w:r>
                    <w:r>
                      <w:t>1</w:t>
                    </w:r>
                    <w:r>
                      <w:fldChar w:fldCharType="end"/>
                    </w:r>
                    <w:r>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56C49"/>
    <w:multiLevelType w:val="singleLevel"/>
    <w:tmpl w:val="B1156C49"/>
    <w:lvl w:ilvl="0" w:tentative="0">
      <w:start w:val="2"/>
      <w:numFmt w:val="decimal"/>
      <w:lvlText w:val="%1."/>
      <w:lvlJc w:val="left"/>
      <w:pPr>
        <w:tabs>
          <w:tab w:val="left" w:pos="312"/>
        </w:tabs>
      </w:pPr>
    </w:lvl>
  </w:abstractNum>
  <w:abstractNum w:abstractNumId="1">
    <w:nsid w:val="F9FEEB30"/>
    <w:multiLevelType w:val="singleLevel"/>
    <w:tmpl w:val="F9FEEB30"/>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A8A61"/>
    <w:rsid w:val="0CB5CD7D"/>
    <w:rsid w:val="0DEC03CB"/>
    <w:rsid w:val="2FDE34F1"/>
    <w:rsid w:val="36F719B1"/>
    <w:rsid w:val="3F711B55"/>
    <w:rsid w:val="3F7192DA"/>
    <w:rsid w:val="4FFFFBC4"/>
    <w:rsid w:val="53FE23E2"/>
    <w:rsid w:val="547DA34B"/>
    <w:rsid w:val="56D393C8"/>
    <w:rsid w:val="577E473D"/>
    <w:rsid w:val="58FD4DC8"/>
    <w:rsid w:val="5AFD7FB0"/>
    <w:rsid w:val="5EFE8D36"/>
    <w:rsid w:val="5FC75317"/>
    <w:rsid w:val="67FF5957"/>
    <w:rsid w:val="6DF3E59B"/>
    <w:rsid w:val="6FD7E45D"/>
    <w:rsid w:val="6FFF473C"/>
    <w:rsid w:val="76DFF055"/>
    <w:rsid w:val="77733A39"/>
    <w:rsid w:val="78BB47D2"/>
    <w:rsid w:val="7A78657A"/>
    <w:rsid w:val="7DFF3D32"/>
    <w:rsid w:val="7EFFEC02"/>
    <w:rsid w:val="97BC052B"/>
    <w:rsid w:val="9EFFFE0A"/>
    <w:rsid w:val="9FF52EEB"/>
    <w:rsid w:val="ABFB98E8"/>
    <w:rsid w:val="AF3ECE5C"/>
    <w:rsid w:val="B8670C2B"/>
    <w:rsid w:val="BAFD9BE8"/>
    <w:rsid w:val="BFEFB11F"/>
    <w:rsid w:val="BFF69331"/>
    <w:rsid w:val="DF76AC37"/>
    <w:rsid w:val="DFEEDA77"/>
    <w:rsid w:val="E7CE863C"/>
    <w:rsid w:val="ED9BC4F7"/>
    <w:rsid w:val="FAF30E3B"/>
    <w:rsid w:val="FAFF0B8C"/>
    <w:rsid w:val="FBFF176C"/>
    <w:rsid w:val="FDB653BE"/>
    <w:rsid w:val="FDB80DCC"/>
    <w:rsid w:val="FFF39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FFFFFF" w:fill="auto"/>
      <w:spacing w:before="0" w:beforeAutospacing="0" w:after="0" w:afterAutospacing="0" w:line="240" w:lineRule="auto"/>
      <w:ind w:left="0" w:right="0" w:firstLine="0"/>
      <w:jc w:val="both"/>
    </w:pPr>
    <w:rPr>
      <w:rFonts w:hint="default" w:ascii="Calibri" w:hAnsi="Calibri" w:eastAsia="宋体" w:cs="Calibri"/>
      <w:color w:val="auto"/>
      <w:spacing w:val="0"/>
      <w:kern w:val="2"/>
      <w:position w:val="0"/>
      <w:sz w:val="21"/>
      <w:szCs w:val="24"/>
      <w:lang w:val="en-US" w:eastAsia="zh-CN" w:bidi="ar-SA"/>
    </w:rPr>
  </w:style>
  <w:style w:type="paragraph" w:styleId="2">
    <w:name w:val="heading 1"/>
    <w:basedOn w:val="1"/>
    <w:next w:val="1"/>
    <w:link w:val="33"/>
    <w:qFormat/>
    <w:uiPriority w:val="9"/>
    <w:pPr>
      <w:keepNext/>
      <w:keepLines/>
      <w:overflowPunct w:val="0"/>
      <w:autoSpaceDE w:val="0"/>
      <w:autoSpaceDN w:val="0"/>
      <w:spacing w:before="480" w:after="200"/>
      <w:outlineLvl w:val="0"/>
    </w:pPr>
    <w:rPr>
      <w:rFonts w:ascii="Arial" w:hAnsi="Arial" w:eastAsia="Arial" w:cs="Arial"/>
      <w:sz w:val="40"/>
      <w:szCs w:val="40"/>
    </w:rPr>
  </w:style>
  <w:style w:type="paragraph" w:styleId="3">
    <w:name w:val="heading 2"/>
    <w:basedOn w:val="1"/>
    <w:next w:val="1"/>
    <w:link w:val="34"/>
    <w:unhideWhenUsed/>
    <w:qFormat/>
    <w:uiPriority w:val="9"/>
    <w:pPr>
      <w:keepNext/>
      <w:keepLines/>
      <w:overflowPunct w:val="0"/>
      <w:autoSpaceDE w:val="0"/>
      <w:autoSpaceDN w:val="0"/>
      <w:spacing w:before="360" w:after="200"/>
      <w:outlineLvl w:val="1"/>
    </w:pPr>
    <w:rPr>
      <w:rFonts w:ascii="Arial" w:hAnsi="Arial" w:eastAsia="Arial" w:cs="Arial"/>
      <w:sz w:val="34"/>
    </w:rPr>
  </w:style>
  <w:style w:type="paragraph" w:styleId="4">
    <w:name w:val="heading 3"/>
    <w:basedOn w:val="1"/>
    <w:next w:val="1"/>
    <w:link w:val="35"/>
    <w:unhideWhenUsed/>
    <w:qFormat/>
    <w:uiPriority w:val="9"/>
    <w:pPr>
      <w:keepNext/>
      <w:keepLines/>
      <w:overflowPunct w:val="0"/>
      <w:autoSpaceDE w:val="0"/>
      <w:autoSpaceDN w:val="0"/>
      <w:spacing w:before="320" w:after="200"/>
      <w:outlineLvl w:val="2"/>
    </w:pPr>
    <w:rPr>
      <w:rFonts w:ascii="Arial" w:hAnsi="Arial" w:eastAsia="Arial" w:cs="Arial"/>
      <w:sz w:val="30"/>
      <w:szCs w:val="30"/>
    </w:rPr>
  </w:style>
  <w:style w:type="paragraph" w:styleId="5">
    <w:name w:val="heading 4"/>
    <w:basedOn w:val="1"/>
    <w:next w:val="1"/>
    <w:link w:val="36"/>
    <w:unhideWhenUsed/>
    <w:qFormat/>
    <w:uiPriority w:val="9"/>
    <w:pPr>
      <w:keepNext/>
      <w:keepLines/>
      <w:overflowPunct w:val="0"/>
      <w:autoSpaceDE w:val="0"/>
      <w:autoSpaceDN w:val="0"/>
      <w:spacing w:before="320" w:after="200"/>
      <w:outlineLvl w:val="3"/>
    </w:pPr>
    <w:rPr>
      <w:rFonts w:ascii="Arial" w:hAnsi="Arial" w:eastAsia="Arial" w:cs="Arial"/>
      <w:b/>
      <w:bCs/>
      <w:sz w:val="26"/>
      <w:szCs w:val="26"/>
    </w:rPr>
  </w:style>
  <w:style w:type="paragraph" w:styleId="6">
    <w:name w:val="heading 5"/>
    <w:basedOn w:val="1"/>
    <w:next w:val="1"/>
    <w:link w:val="37"/>
    <w:unhideWhenUsed/>
    <w:qFormat/>
    <w:uiPriority w:val="9"/>
    <w:pPr>
      <w:keepNext/>
      <w:keepLines/>
      <w:overflowPunct w:val="0"/>
      <w:autoSpaceDE w:val="0"/>
      <w:autoSpaceDN w:val="0"/>
      <w:spacing w:before="320" w:after="200"/>
      <w:outlineLvl w:val="4"/>
    </w:pPr>
    <w:rPr>
      <w:rFonts w:ascii="Arial" w:hAnsi="Arial" w:eastAsia="Arial" w:cs="Arial"/>
      <w:b/>
      <w:bCs/>
      <w:sz w:val="24"/>
      <w:szCs w:val="24"/>
    </w:rPr>
  </w:style>
  <w:style w:type="paragraph" w:styleId="7">
    <w:name w:val="heading 6"/>
    <w:basedOn w:val="1"/>
    <w:next w:val="1"/>
    <w:link w:val="38"/>
    <w:unhideWhenUsed/>
    <w:qFormat/>
    <w:uiPriority w:val="9"/>
    <w:pPr>
      <w:keepNext/>
      <w:keepLines/>
      <w:overflowPunct w:val="0"/>
      <w:autoSpaceDE w:val="0"/>
      <w:autoSpaceDN w:val="0"/>
      <w:spacing w:before="320" w:after="200"/>
      <w:outlineLvl w:val="5"/>
    </w:pPr>
    <w:rPr>
      <w:rFonts w:ascii="Arial" w:hAnsi="Arial" w:eastAsia="Arial" w:cs="Arial"/>
      <w:b/>
      <w:bCs/>
      <w:sz w:val="22"/>
      <w:szCs w:val="22"/>
    </w:rPr>
  </w:style>
  <w:style w:type="paragraph" w:styleId="8">
    <w:name w:val="heading 7"/>
    <w:basedOn w:val="1"/>
    <w:next w:val="1"/>
    <w:link w:val="39"/>
    <w:unhideWhenUsed/>
    <w:qFormat/>
    <w:uiPriority w:val="9"/>
    <w:pPr>
      <w:keepNext/>
      <w:keepLines/>
      <w:overflowPunct w:val="0"/>
      <w:autoSpaceDE w:val="0"/>
      <w:autoSpaceDN w:val="0"/>
      <w:spacing w:before="320" w:after="200"/>
      <w:outlineLvl w:val="6"/>
    </w:pPr>
    <w:rPr>
      <w:rFonts w:ascii="Arial" w:hAnsi="Arial" w:eastAsia="Arial" w:cs="Arial"/>
      <w:b/>
      <w:bCs/>
      <w:i/>
      <w:iCs/>
      <w:sz w:val="22"/>
      <w:szCs w:val="22"/>
    </w:rPr>
  </w:style>
  <w:style w:type="paragraph" w:styleId="9">
    <w:name w:val="heading 8"/>
    <w:basedOn w:val="1"/>
    <w:next w:val="1"/>
    <w:link w:val="40"/>
    <w:unhideWhenUsed/>
    <w:qFormat/>
    <w:uiPriority w:val="9"/>
    <w:pPr>
      <w:keepNext/>
      <w:keepLines/>
      <w:overflowPunct w:val="0"/>
      <w:autoSpaceDE w:val="0"/>
      <w:autoSpaceDN w:val="0"/>
      <w:spacing w:before="320" w:after="200"/>
      <w:outlineLvl w:val="7"/>
    </w:pPr>
    <w:rPr>
      <w:rFonts w:ascii="Arial" w:hAnsi="Arial" w:eastAsia="Arial" w:cs="Arial"/>
      <w:i/>
      <w:iCs/>
      <w:sz w:val="22"/>
      <w:szCs w:val="22"/>
    </w:rPr>
  </w:style>
  <w:style w:type="paragraph" w:styleId="10">
    <w:name w:val="heading 9"/>
    <w:basedOn w:val="1"/>
    <w:next w:val="1"/>
    <w:link w:val="41"/>
    <w:unhideWhenUsed/>
    <w:qFormat/>
    <w:uiPriority w:val="9"/>
    <w:pPr>
      <w:keepNext/>
      <w:keepLines/>
      <w:overflowPunct w:val="0"/>
      <w:autoSpaceDE w:val="0"/>
      <w:autoSpaceDN w:val="0"/>
      <w:spacing w:before="320" w:after="200"/>
      <w:outlineLvl w:val="8"/>
    </w:pPr>
    <w:rPr>
      <w:rFonts w:ascii="Arial" w:hAnsi="Arial" w:eastAsia="Arial" w:cs="Arial"/>
      <w:i/>
      <w:iCs/>
      <w:sz w:val="21"/>
      <w:szCs w:val="21"/>
    </w:rPr>
  </w:style>
  <w:style w:type="character" w:default="1" w:styleId="30">
    <w:name w:val="Default Paragraph Font"/>
    <w:semiHidden/>
    <w:qFormat/>
    <w:uiPriority w:val="0"/>
  </w:style>
  <w:style w:type="table" w:default="1" w:styleId="28">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toc 7"/>
    <w:basedOn w:val="1"/>
    <w:next w:val="1"/>
    <w:unhideWhenUsed/>
    <w:qFormat/>
    <w:uiPriority w:val="39"/>
    <w:pPr>
      <w:overflowPunct w:val="0"/>
      <w:autoSpaceDE w:val="0"/>
      <w:autoSpaceDN w:val="0"/>
      <w:spacing w:after="57"/>
      <w:ind w:left="1701" w:right="0" w:firstLine="0"/>
    </w:pPr>
  </w:style>
  <w:style w:type="paragraph" w:styleId="12">
    <w:name w:val="Normal Indent"/>
    <w:basedOn w:val="1"/>
    <w:next w:val="13"/>
    <w:unhideWhenUsed/>
    <w:qFormat/>
    <w:uiPriority w:val="99"/>
    <w:pPr>
      <w:spacing w:line="560" w:lineRule="exact"/>
      <w:ind w:firstLine="420" w:firstLineChars="200"/>
    </w:pPr>
  </w:style>
  <w:style w:type="paragraph" w:styleId="13">
    <w:name w:val="Body Text"/>
    <w:basedOn w:val="1"/>
    <w:next w:val="1"/>
    <w:unhideWhenUsed/>
    <w:qFormat/>
    <w:uiPriority w:val="99"/>
    <w:rPr>
      <w:rFonts w:ascii="Times New Roman" w:hAnsi="Times New Roman"/>
      <w:sz w:val="32"/>
      <w:szCs w:val="24"/>
    </w:rPr>
  </w:style>
  <w:style w:type="paragraph" w:styleId="14">
    <w:name w:val="caption"/>
    <w:basedOn w:val="1"/>
    <w:next w:val="1"/>
    <w:semiHidden/>
    <w:unhideWhenUsed/>
    <w:qFormat/>
    <w:uiPriority w:val="35"/>
    <w:pPr>
      <w:overflowPunct w:val="0"/>
      <w:autoSpaceDE w:val="0"/>
      <w:autoSpaceDN w:val="0"/>
      <w:spacing w:line="276" w:lineRule="auto"/>
    </w:pPr>
    <w:rPr>
      <w:b/>
      <w:bCs/>
      <w:color w:val="5B9BD5" w:themeColor="accent1"/>
      <w:sz w:val="18"/>
      <w:szCs w:val="18"/>
      <w14:textFill>
        <w14:solidFill>
          <w14:schemeClr w14:val="accent1"/>
        </w14:solidFill>
      </w14:textFill>
    </w:rPr>
  </w:style>
  <w:style w:type="paragraph" w:styleId="15">
    <w:name w:val="toc 5"/>
    <w:basedOn w:val="1"/>
    <w:next w:val="1"/>
    <w:unhideWhenUsed/>
    <w:qFormat/>
    <w:uiPriority w:val="39"/>
    <w:pPr>
      <w:overflowPunct w:val="0"/>
      <w:autoSpaceDE w:val="0"/>
      <w:autoSpaceDN w:val="0"/>
      <w:spacing w:after="57"/>
      <w:ind w:left="1134" w:right="0" w:firstLine="0"/>
    </w:pPr>
  </w:style>
  <w:style w:type="paragraph" w:styleId="16">
    <w:name w:val="toc 3"/>
    <w:basedOn w:val="1"/>
    <w:next w:val="1"/>
    <w:unhideWhenUsed/>
    <w:qFormat/>
    <w:uiPriority w:val="39"/>
    <w:pPr>
      <w:overflowPunct w:val="0"/>
      <w:autoSpaceDE w:val="0"/>
      <w:autoSpaceDN w:val="0"/>
      <w:spacing w:after="57"/>
      <w:ind w:left="567" w:right="0" w:firstLine="0"/>
    </w:pPr>
  </w:style>
  <w:style w:type="paragraph" w:styleId="17">
    <w:name w:val="toc 8"/>
    <w:basedOn w:val="1"/>
    <w:next w:val="1"/>
    <w:unhideWhenUsed/>
    <w:qFormat/>
    <w:uiPriority w:val="39"/>
    <w:pPr>
      <w:overflowPunct w:val="0"/>
      <w:autoSpaceDE w:val="0"/>
      <w:autoSpaceDN w:val="0"/>
      <w:spacing w:after="57"/>
      <w:ind w:left="1984" w:right="0" w:firstLine="0"/>
    </w:p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oc 1"/>
    <w:basedOn w:val="1"/>
    <w:next w:val="1"/>
    <w:unhideWhenUsed/>
    <w:qFormat/>
    <w:uiPriority w:val="39"/>
    <w:pPr>
      <w:overflowPunct w:val="0"/>
      <w:autoSpaceDE w:val="0"/>
      <w:autoSpaceDN w:val="0"/>
      <w:spacing w:after="57"/>
      <w:ind w:left="0" w:right="0" w:firstLine="0"/>
    </w:pPr>
  </w:style>
  <w:style w:type="paragraph" w:styleId="21">
    <w:name w:val="toc 4"/>
    <w:basedOn w:val="1"/>
    <w:next w:val="1"/>
    <w:unhideWhenUsed/>
    <w:qFormat/>
    <w:uiPriority w:val="39"/>
    <w:pPr>
      <w:overflowPunct w:val="0"/>
      <w:autoSpaceDE w:val="0"/>
      <w:autoSpaceDN w:val="0"/>
      <w:spacing w:after="57"/>
      <w:ind w:left="850" w:right="0" w:firstLine="0"/>
    </w:pPr>
  </w:style>
  <w:style w:type="paragraph" w:styleId="22">
    <w:name w:val="Subtitle"/>
    <w:basedOn w:val="1"/>
    <w:next w:val="1"/>
    <w:link w:val="45"/>
    <w:qFormat/>
    <w:uiPriority w:val="11"/>
    <w:pPr>
      <w:overflowPunct w:val="0"/>
      <w:autoSpaceDE w:val="0"/>
      <w:autoSpaceDN w:val="0"/>
      <w:spacing w:before="200" w:after="200"/>
    </w:pPr>
    <w:rPr>
      <w:sz w:val="24"/>
      <w:szCs w:val="24"/>
    </w:rPr>
  </w:style>
  <w:style w:type="paragraph" w:styleId="23">
    <w:name w:val="footnote text"/>
    <w:basedOn w:val="1"/>
    <w:link w:val="178"/>
    <w:semiHidden/>
    <w:unhideWhenUsed/>
    <w:qFormat/>
    <w:uiPriority w:val="99"/>
    <w:pPr>
      <w:overflowPunct w:val="0"/>
      <w:autoSpaceDE w:val="0"/>
      <w:autoSpaceDN w:val="0"/>
      <w:spacing w:after="40" w:line="240" w:lineRule="auto"/>
    </w:pPr>
    <w:rPr>
      <w:sz w:val="18"/>
    </w:rPr>
  </w:style>
  <w:style w:type="paragraph" w:styleId="24">
    <w:name w:val="toc 6"/>
    <w:basedOn w:val="1"/>
    <w:next w:val="1"/>
    <w:unhideWhenUsed/>
    <w:qFormat/>
    <w:uiPriority w:val="39"/>
    <w:pPr>
      <w:overflowPunct w:val="0"/>
      <w:autoSpaceDE w:val="0"/>
      <w:autoSpaceDN w:val="0"/>
      <w:spacing w:after="57"/>
      <w:ind w:left="1417" w:right="0" w:firstLine="0"/>
    </w:pPr>
  </w:style>
  <w:style w:type="paragraph" w:styleId="25">
    <w:name w:val="toc 2"/>
    <w:basedOn w:val="1"/>
    <w:next w:val="1"/>
    <w:unhideWhenUsed/>
    <w:qFormat/>
    <w:uiPriority w:val="39"/>
    <w:pPr>
      <w:overflowPunct w:val="0"/>
      <w:autoSpaceDE w:val="0"/>
      <w:autoSpaceDN w:val="0"/>
      <w:spacing w:after="57"/>
      <w:ind w:left="283" w:right="0" w:firstLine="0"/>
    </w:pPr>
  </w:style>
  <w:style w:type="paragraph" w:styleId="26">
    <w:name w:val="toc 9"/>
    <w:basedOn w:val="1"/>
    <w:next w:val="1"/>
    <w:unhideWhenUsed/>
    <w:qFormat/>
    <w:uiPriority w:val="39"/>
    <w:pPr>
      <w:overflowPunct w:val="0"/>
      <w:autoSpaceDE w:val="0"/>
      <w:autoSpaceDN w:val="0"/>
      <w:spacing w:after="57"/>
      <w:ind w:left="2268" w:right="0" w:firstLine="0"/>
    </w:pPr>
  </w:style>
  <w:style w:type="paragraph" w:styleId="27">
    <w:name w:val="Title"/>
    <w:basedOn w:val="1"/>
    <w:next w:val="1"/>
    <w:link w:val="44"/>
    <w:qFormat/>
    <w:uiPriority w:val="10"/>
    <w:pPr>
      <w:overflowPunct w:val="0"/>
      <w:autoSpaceDE w:val="0"/>
      <w:autoSpaceDN w:val="0"/>
      <w:spacing w:before="300" w:after="200"/>
      <w:contextualSpacing/>
    </w:pPr>
    <w:rPr>
      <w:sz w:val="48"/>
      <w:szCs w:val="48"/>
    </w:rPr>
  </w:style>
  <w:style w:type="table" w:styleId="29">
    <w:name w:val="Table Grid"/>
    <w:basedOn w:val="28"/>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1">
    <w:name w:val="Hyperlink"/>
    <w:unhideWhenUsed/>
    <w:qFormat/>
    <w:uiPriority w:val="99"/>
    <w:rPr>
      <w:color w:val="0563C1" w:themeColor="hyperlink"/>
      <w:u w:val="single"/>
      <w14:textFill>
        <w14:solidFill>
          <w14:schemeClr w14:val="hlink"/>
        </w14:solidFill>
      </w14:textFill>
    </w:rPr>
  </w:style>
  <w:style w:type="character" w:styleId="32">
    <w:name w:val="footnote reference"/>
    <w:basedOn w:val="30"/>
    <w:unhideWhenUsed/>
    <w:qFormat/>
    <w:uiPriority w:val="99"/>
    <w:rPr>
      <w:vertAlign w:val="superscript"/>
    </w:rPr>
  </w:style>
  <w:style w:type="character" w:customStyle="1" w:styleId="33">
    <w:name w:val="Heading 1 Char"/>
    <w:basedOn w:val="30"/>
    <w:link w:val="2"/>
    <w:qFormat/>
    <w:uiPriority w:val="9"/>
    <w:rPr>
      <w:rFonts w:ascii="Arial" w:hAnsi="Arial" w:eastAsia="Arial" w:cs="Arial"/>
      <w:sz w:val="40"/>
      <w:szCs w:val="40"/>
    </w:rPr>
  </w:style>
  <w:style w:type="character" w:customStyle="1" w:styleId="34">
    <w:name w:val="Heading 2 Char"/>
    <w:basedOn w:val="30"/>
    <w:link w:val="3"/>
    <w:qFormat/>
    <w:uiPriority w:val="9"/>
    <w:rPr>
      <w:rFonts w:ascii="Arial" w:hAnsi="Arial" w:eastAsia="Arial" w:cs="Arial"/>
      <w:sz w:val="34"/>
    </w:rPr>
  </w:style>
  <w:style w:type="character" w:customStyle="1" w:styleId="35">
    <w:name w:val="Heading 3 Char"/>
    <w:basedOn w:val="30"/>
    <w:link w:val="4"/>
    <w:qFormat/>
    <w:uiPriority w:val="9"/>
    <w:rPr>
      <w:rFonts w:ascii="Arial" w:hAnsi="Arial" w:eastAsia="Arial" w:cs="Arial"/>
      <w:sz w:val="30"/>
      <w:szCs w:val="30"/>
    </w:rPr>
  </w:style>
  <w:style w:type="character" w:customStyle="1" w:styleId="36">
    <w:name w:val="Heading 4 Char"/>
    <w:basedOn w:val="30"/>
    <w:link w:val="5"/>
    <w:qFormat/>
    <w:uiPriority w:val="9"/>
    <w:rPr>
      <w:rFonts w:ascii="Arial" w:hAnsi="Arial" w:eastAsia="Arial" w:cs="Arial"/>
      <w:b/>
      <w:bCs/>
      <w:sz w:val="26"/>
      <w:szCs w:val="26"/>
    </w:rPr>
  </w:style>
  <w:style w:type="character" w:customStyle="1" w:styleId="37">
    <w:name w:val="Heading 5 Char"/>
    <w:basedOn w:val="30"/>
    <w:link w:val="6"/>
    <w:qFormat/>
    <w:uiPriority w:val="9"/>
    <w:rPr>
      <w:rFonts w:ascii="Arial" w:hAnsi="Arial" w:eastAsia="Arial" w:cs="Arial"/>
      <w:b/>
      <w:bCs/>
      <w:sz w:val="24"/>
      <w:szCs w:val="24"/>
    </w:rPr>
  </w:style>
  <w:style w:type="character" w:customStyle="1" w:styleId="38">
    <w:name w:val="Heading 6 Char"/>
    <w:basedOn w:val="30"/>
    <w:link w:val="7"/>
    <w:qFormat/>
    <w:uiPriority w:val="9"/>
    <w:rPr>
      <w:rFonts w:ascii="Arial" w:hAnsi="Arial" w:eastAsia="Arial" w:cs="Arial"/>
      <w:b/>
      <w:bCs/>
      <w:sz w:val="22"/>
      <w:szCs w:val="22"/>
    </w:rPr>
  </w:style>
  <w:style w:type="character" w:customStyle="1" w:styleId="39">
    <w:name w:val="Heading 7 Char"/>
    <w:basedOn w:val="30"/>
    <w:link w:val="8"/>
    <w:qFormat/>
    <w:uiPriority w:val="9"/>
    <w:rPr>
      <w:rFonts w:ascii="Arial" w:hAnsi="Arial" w:eastAsia="Arial" w:cs="Arial"/>
      <w:b/>
      <w:bCs/>
      <w:i/>
      <w:iCs/>
      <w:sz w:val="22"/>
      <w:szCs w:val="22"/>
    </w:rPr>
  </w:style>
  <w:style w:type="character" w:customStyle="1" w:styleId="40">
    <w:name w:val="Heading 8 Char"/>
    <w:basedOn w:val="30"/>
    <w:link w:val="9"/>
    <w:qFormat/>
    <w:uiPriority w:val="9"/>
    <w:rPr>
      <w:rFonts w:ascii="Arial" w:hAnsi="Arial" w:eastAsia="Arial" w:cs="Arial"/>
      <w:i/>
      <w:iCs/>
      <w:sz w:val="22"/>
      <w:szCs w:val="22"/>
    </w:rPr>
  </w:style>
  <w:style w:type="character" w:customStyle="1" w:styleId="41">
    <w:name w:val="Heading 9 Char"/>
    <w:basedOn w:val="30"/>
    <w:link w:val="10"/>
    <w:qFormat/>
    <w:uiPriority w:val="9"/>
    <w:rPr>
      <w:rFonts w:ascii="Arial" w:hAnsi="Arial" w:eastAsia="Arial" w:cs="Arial"/>
      <w:i/>
      <w:iCs/>
      <w:sz w:val="21"/>
      <w:szCs w:val="21"/>
    </w:rPr>
  </w:style>
  <w:style w:type="paragraph" w:styleId="42">
    <w:name w:val="List Paragraph"/>
    <w:basedOn w:val="1"/>
    <w:qFormat/>
    <w:uiPriority w:val="34"/>
    <w:pPr>
      <w:overflowPunct w:val="0"/>
      <w:autoSpaceDE w:val="0"/>
      <w:autoSpaceDN w:val="0"/>
      <w:ind w:left="720"/>
      <w:contextualSpacing/>
    </w:pPr>
  </w:style>
  <w:style w:type="paragraph" w:styleId="43">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FFFFFF" w:fill="auto"/>
      <w:overflowPunct w:val="0"/>
      <w:autoSpaceDE w:val="0"/>
      <w:autoSpaceDN w:val="0"/>
      <w:spacing w:before="0" w:beforeAutospacing="0" w:after="0" w:afterAutospacing="0" w:line="240" w:lineRule="auto"/>
      <w:ind w:left="0" w:right="0" w:firstLine="0"/>
      <w:jc w:val="left"/>
    </w:pPr>
    <w:rPr>
      <w:rFonts w:hint="default" w:ascii="Calibri" w:hAnsi="Calibri" w:eastAsia="宋体" w:cs="Calibri"/>
      <w:color w:val="auto"/>
      <w:spacing w:val="0"/>
      <w:position w:val="0"/>
      <w:sz w:val="21"/>
      <w:szCs w:val="22"/>
      <w:lang w:val="en-US" w:eastAsia="en-US" w:bidi="en-US"/>
    </w:rPr>
  </w:style>
  <w:style w:type="character" w:customStyle="1" w:styleId="44">
    <w:name w:val="Title Char"/>
    <w:basedOn w:val="30"/>
    <w:link w:val="27"/>
    <w:qFormat/>
    <w:uiPriority w:val="10"/>
    <w:rPr>
      <w:sz w:val="48"/>
      <w:szCs w:val="48"/>
    </w:rPr>
  </w:style>
  <w:style w:type="character" w:customStyle="1" w:styleId="45">
    <w:name w:val="Subtitle Char"/>
    <w:basedOn w:val="30"/>
    <w:link w:val="22"/>
    <w:qFormat/>
    <w:uiPriority w:val="11"/>
    <w:rPr>
      <w:sz w:val="24"/>
      <w:szCs w:val="24"/>
    </w:rPr>
  </w:style>
  <w:style w:type="paragraph" w:styleId="46">
    <w:name w:val="Quote"/>
    <w:basedOn w:val="1"/>
    <w:next w:val="1"/>
    <w:link w:val="47"/>
    <w:qFormat/>
    <w:uiPriority w:val="29"/>
    <w:pPr>
      <w:overflowPunct w:val="0"/>
      <w:autoSpaceDE w:val="0"/>
      <w:autoSpaceDN w:val="0"/>
      <w:ind w:left="720" w:right="720"/>
    </w:pPr>
    <w:rPr>
      <w:i/>
    </w:rPr>
  </w:style>
  <w:style w:type="character" w:customStyle="1" w:styleId="47">
    <w:name w:val="Quote Char"/>
    <w:link w:val="46"/>
    <w:qFormat/>
    <w:uiPriority w:val="29"/>
    <w:rPr>
      <w:i/>
    </w:rPr>
  </w:style>
  <w:style w:type="paragraph" w:styleId="48">
    <w:name w:val="Intense Quote"/>
    <w:basedOn w:val="1"/>
    <w:next w:val="1"/>
    <w:link w:val="49"/>
    <w:qFormat/>
    <w:uiPriority w:val="30"/>
    <w:pPr>
      <w:pBdr>
        <w:top w:val="single" w:color="FFFFFF" w:sz="4" w:space="5"/>
        <w:left w:val="single" w:color="FFFFFF" w:sz="4" w:space="10"/>
        <w:bottom w:val="single" w:color="FFFFFF" w:sz="4" w:space="5"/>
        <w:right w:val="single" w:color="FFFFFF" w:sz="4" w:space="10"/>
      </w:pBdr>
      <w:shd w:val="clear" w:color="auto" w:fill="F2F2F2"/>
      <w:overflowPunct w:val="0"/>
      <w:autoSpaceDE w:val="0"/>
      <w:autoSpaceDN w:val="0"/>
      <w:ind w:left="720" w:right="720"/>
      <w:contextualSpacing w:val="0"/>
    </w:pPr>
    <w:rPr>
      <w:i/>
    </w:rPr>
  </w:style>
  <w:style w:type="character" w:customStyle="1" w:styleId="49">
    <w:name w:val="Intense Quote Char"/>
    <w:link w:val="48"/>
    <w:qFormat/>
    <w:uiPriority w:val="30"/>
    <w:rPr>
      <w:i/>
    </w:rPr>
  </w:style>
  <w:style w:type="character" w:customStyle="1" w:styleId="50">
    <w:name w:val="Header Char"/>
    <w:basedOn w:val="30"/>
    <w:qFormat/>
    <w:uiPriority w:val="99"/>
  </w:style>
  <w:style w:type="character" w:customStyle="1" w:styleId="51">
    <w:name w:val="Footer Char"/>
    <w:basedOn w:val="30"/>
    <w:qFormat/>
    <w:uiPriority w:val="99"/>
  </w:style>
  <w:style w:type="character" w:customStyle="1" w:styleId="52">
    <w:name w:val="Caption Char"/>
    <w:qFormat/>
    <w:uiPriority w:val="99"/>
  </w:style>
  <w:style w:type="table" w:customStyle="1" w:styleId="53">
    <w:name w:val="Table Grid Light"/>
    <w:basedOn w:val="28"/>
    <w:qFormat/>
    <w:uiPriority w:val="59"/>
    <w:pPr>
      <w:overflowPunct w:val="0"/>
      <w:autoSpaceDE w:val="0"/>
      <w:autoSpaceDN w:val="0"/>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4">
    <w:name w:val="Plain Table 1"/>
    <w:basedOn w:val="28"/>
    <w:qFormat/>
    <w:uiPriority w:val="59"/>
    <w:pPr>
      <w:overflowPunct w:val="0"/>
      <w:autoSpaceDE w:val="0"/>
      <w:autoSpaceDN w:val="0"/>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auto" w:fill="F1F1F1" w:themeFill="text1" w:themeFillTint="0D"/>
      </w:tcPr>
    </w:tblStylePr>
    <w:tblStylePr w:type="band1Horz">
      <w:tcPr>
        <w:shd w:val="clear" w:color="auto" w:fill="F1F1F1" w:themeFill="text1" w:themeFillTint="0D"/>
      </w:tcPr>
    </w:tblStylePr>
    <w:tblStylePr w:type="neCell"/>
    <w:tblStylePr w:type="nwCell"/>
    <w:tblStylePr w:type="seCell"/>
    <w:tblStylePr w:type="swCell"/>
  </w:style>
  <w:style w:type="table" w:customStyle="1" w:styleId="55">
    <w:name w:val="Plain Table 2"/>
    <w:basedOn w:val="28"/>
    <w:qFormat/>
    <w:uiPriority w:val="59"/>
    <w:pPr>
      <w:overflowPunct w:val="0"/>
      <w:autoSpaceDE w:val="0"/>
      <w:autoSpaceDN w:val="0"/>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56">
    <w:name w:val="Plain Table 3"/>
    <w:basedOn w:val="28"/>
    <w:qFormat/>
    <w:uiPriority w:val="99"/>
    <w:pPr>
      <w:overflowPunct w:val="0"/>
      <w:autoSpaceDE w:val="0"/>
      <w:autoSpaceDN w:val="0"/>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57">
    <w:name w:val="Plain Table 4"/>
    <w:basedOn w:val="28"/>
    <w:qFormat/>
    <w:uiPriority w:val="99"/>
    <w:pPr>
      <w:overflowPunct w:val="0"/>
      <w:autoSpaceDE w:val="0"/>
      <w:autoSpaceDN w:val="0"/>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58">
    <w:name w:val="Plain Table 5"/>
    <w:basedOn w:val="28"/>
    <w:qFormat/>
    <w:uiPriority w:val="99"/>
    <w:pPr>
      <w:overflowPunct w:val="0"/>
      <w:autoSpaceDE w:val="0"/>
      <w:autoSpaceDN w:val="0"/>
      <w:spacing w:after="0" w:line="240" w:lineRule="auto"/>
    </w:pPr>
    <w:tblStylePr w:type="firstRow">
      <w:rPr>
        <w:i/>
        <w:color w:val="404040"/>
      </w:rPr>
      <w:tcPr>
        <w:tcBorders>
          <w:left w:val="nil"/>
          <w:bottom w:val="single" w:color="404040" w:sz="4" w:space="0"/>
          <w:right w:val="nil"/>
        </w:tcBorders>
        <w:shd w:val="clear" w:color="auto" w:fill="FFFFFF"/>
      </w:tcPr>
    </w:tblStylePr>
    <w:tblStylePr w:type="lastRow">
      <w:rPr>
        <w:i/>
        <w:color w:val="404040"/>
      </w:rPr>
      <w:tcPr>
        <w:tcBorders>
          <w:top w:val="single" w:color="404040" w:sz="4" w:space="0"/>
          <w:left w:val="nil"/>
          <w:right w:val="nil"/>
        </w:tcBorders>
        <w:shd w:val="clear" w:color="auto" w:fill="FFFFFF"/>
      </w:tcPr>
    </w:tblStylePr>
    <w:tblStylePr w:type="firstCol">
      <w:pPr>
        <w:overflowPunct w:val="0"/>
        <w:autoSpaceDE w:val="0"/>
        <w:autoSpaceDN w:val="0"/>
        <w:jc w:val="right"/>
      </w:pPr>
      <w:rPr>
        <w:i/>
        <w:color w:val="404040"/>
      </w:rPr>
      <w:tcPr>
        <w:tcBorders>
          <w:right w:val="single" w:color="404040" w:sz="4" w:space="0"/>
        </w:tcBorders>
        <w:shd w:val="clear" w:color="auto" w:fill="FFFFFF"/>
      </w:tcPr>
    </w:tblStylePr>
    <w:tblStylePr w:type="lastCol">
      <w:rPr>
        <w:i/>
        <w:color w:val="404040"/>
      </w:rPr>
      <w:tcPr>
        <w:tcBorders>
          <w:left w:val="single" w:color="404040" w:sz="4" w:space="0"/>
        </w:tcBorders>
        <w:shd w:val="clear" w:color="auto" w:fill="FFFFFF"/>
      </w:tc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59">
    <w:name w:val="Grid Table 1 Light"/>
    <w:basedOn w:val="28"/>
    <w:qFormat/>
    <w:uiPriority w:val="99"/>
    <w:pPr>
      <w:overflowPunct w:val="0"/>
      <w:autoSpaceDE w:val="0"/>
      <w:autoSpaceDN w:val="0"/>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0">
    <w:name w:val="Grid Table 1 Light - Accent 1"/>
    <w:basedOn w:val="28"/>
    <w:qFormat/>
    <w:uiPriority w:val="99"/>
    <w:pPr>
      <w:overflowPunct w:val="0"/>
      <w:autoSpaceDE w:val="0"/>
      <w:autoSpaceDN w:val="0"/>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61">
    <w:name w:val="Grid Table 1 Light - Accent 2"/>
    <w:basedOn w:val="28"/>
    <w:qFormat/>
    <w:uiPriority w:val="99"/>
    <w:pPr>
      <w:overflowPunct w:val="0"/>
      <w:autoSpaceDE w:val="0"/>
      <w:autoSpaceDN w:val="0"/>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62">
    <w:name w:val="Grid Table 1 Light - Accent 3"/>
    <w:basedOn w:val="28"/>
    <w:qFormat/>
    <w:uiPriority w:val="99"/>
    <w:pPr>
      <w:overflowPunct w:val="0"/>
      <w:autoSpaceDE w:val="0"/>
      <w:autoSpaceDN w:val="0"/>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63">
    <w:name w:val="Grid Table 1 Light - Accent 4"/>
    <w:basedOn w:val="28"/>
    <w:qFormat/>
    <w:uiPriority w:val="99"/>
    <w:pPr>
      <w:overflowPunct w:val="0"/>
      <w:autoSpaceDE w:val="0"/>
      <w:autoSpaceDN w:val="0"/>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64">
    <w:name w:val="Grid Table 1 Light - Accent 5"/>
    <w:basedOn w:val="28"/>
    <w:qFormat/>
    <w:uiPriority w:val="99"/>
    <w:pPr>
      <w:overflowPunct w:val="0"/>
      <w:autoSpaceDE w:val="0"/>
      <w:autoSpaceDN w:val="0"/>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65">
    <w:name w:val="Grid Table 1 Light - Accent 6"/>
    <w:basedOn w:val="28"/>
    <w:qFormat/>
    <w:uiPriority w:val="99"/>
    <w:pPr>
      <w:overflowPunct w:val="0"/>
      <w:autoSpaceDE w:val="0"/>
      <w:autoSpaceDN w:val="0"/>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66">
    <w:name w:val="Grid Table 2"/>
    <w:basedOn w:val="28"/>
    <w:qFormat/>
    <w:uiPriority w:val="99"/>
    <w:pPr>
      <w:overflowPunct w:val="0"/>
      <w:autoSpaceDE w:val="0"/>
      <w:autoSpaceDN w:val="0"/>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auto" w:fill="FFFFFF"/>
      </w:tcPr>
    </w:tblStylePr>
    <w:tblStylePr w:type="lastRow">
      <w:rPr>
        <w:b/>
        <w:color w:val="404040"/>
      </w:r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67">
    <w:name w:val="Grid Table 2 - Accent 1"/>
    <w:basedOn w:val="28"/>
    <w:qFormat/>
    <w:uiPriority w:val="99"/>
    <w:pPr>
      <w:overflowPunct w:val="0"/>
      <w:autoSpaceDE w:val="0"/>
      <w:autoSpaceDN w:val="0"/>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auto" w:fill="FFFFFF"/>
      </w:tcPr>
    </w:tblStylePr>
    <w:tblStylePr w:type="lastRow">
      <w:rPr>
        <w:b/>
        <w:color w:val="404040"/>
      </w:rPr>
      <w:tcPr>
        <w:tcBorders>
          <w:top w:val="single" w:color="68A3D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1" w:themeFillTint="34"/>
      </w:tcPr>
    </w:tblStylePr>
    <w:tblStylePr w:type="band1Horz">
      <w:rPr>
        <w:rFonts w:ascii="Arial" w:hAnsi="Arial"/>
        <w:color w:val="404040"/>
        <w:sz w:val="22"/>
      </w:rPr>
      <w:tcPr>
        <w:shd w:val="clear" w:color="auto" w:fill="DDEAF6" w:themeFill="accent1" w:themeFillTint="34"/>
      </w:tcPr>
    </w:tblStylePr>
    <w:tblStylePr w:type="neCell"/>
    <w:tblStylePr w:type="nwCell"/>
    <w:tblStylePr w:type="seCell"/>
    <w:tblStylePr w:type="swCell"/>
  </w:style>
  <w:style w:type="table" w:customStyle="1" w:styleId="68">
    <w:name w:val="Grid Table 2 - Accent 2"/>
    <w:basedOn w:val="28"/>
    <w:qFormat/>
    <w:uiPriority w:val="99"/>
    <w:pPr>
      <w:overflowPunct w:val="0"/>
      <w:autoSpaceDE w:val="0"/>
      <w:autoSpaceDN w:val="0"/>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auto" w:fill="FFFFFF"/>
      </w:tcPr>
    </w:tblStylePr>
    <w:tblStylePr w:type="lastRow">
      <w:rPr>
        <w:b/>
        <w:color w:val="404040"/>
      </w:r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tblStylePr w:type="neCell"/>
    <w:tblStylePr w:type="nwCell"/>
    <w:tblStylePr w:type="seCell"/>
    <w:tblStylePr w:type="swCell"/>
  </w:style>
  <w:style w:type="table" w:customStyle="1" w:styleId="69">
    <w:name w:val="Grid Table 2 - Accent 3"/>
    <w:basedOn w:val="28"/>
    <w:qFormat/>
    <w:uiPriority w:val="99"/>
    <w:pPr>
      <w:overflowPunct w:val="0"/>
      <w:autoSpaceDE w:val="0"/>
      <w:autoSpaceDN w:val="0"/>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auto" w:fill="FFFFFF"/>
      </w:tcPr>
    </w:tblStylePr>
    <w:tblStylePr w:type="lastRow">
      <w:rPr>
        <w:b/>
        <w:color w:val="404040"/>
      </w:r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tblStylePr w:type="neCell"/>
    <w:tblStylePr w:type="nwCell"/>
    <w:tblStylePr w:type="seCell"/>
    <w:tblStylePr w:type="swCell"/>
  </w:style>
  <w:style w:type="table" w:customStyle="1" w:styleId="70">
    <w:name w:val="Grid Table 2 - Accent 4"/>
    <w:basedOn w:val="28"/>
    <w:qFormat/>
    <w:uiPriority w:val="99"/>
    <w:pPr>
      <w:overflowPunct w:val="0"/>
      <w:autoSpaceDE w:val="0"/>
      <w:autoSpaceDN w:val="0"/>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auto" w:fill="FFFFFF"/>
      </w:tcPr>
    </w:tblStylePr>
    <w:tblStylePr w:type="lastRow">
      <w:rPr>
        <w:b/>
        <w:color w:val="404040"/>
      </w:r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tblStylePr w:type="neCell"/>
    <w:tblStylePr w:type="nwCell"/>
    <w:tblStylePr w:type="seCell"/>
    <w:tblStylePr w:type="swCell"/>
  </w:style>
  <w:style w:type="table" w:customStyle="1" w:styleId="71">
    <w:name w:val="Grid Table 2 - Accent 5"/>
    <w:basedOn w:val="28"/>
    <w:qFormat/>
    <w:uiPriority w:val="99"/>
    <w:pPr>
      <w:overflowPunct w:val="0"/>
      <w:autoSpaceDE w:val="0"/>
      <w:autoSpaceDN w:val="0"/>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auto" w:fill="FFFFFF"/>
      </w:tcPr>
    </w:tblStylePr>
    <w:tblStylePr w:type="lastRow">
      <w:rPr>
        <w:b/>
        <w:color w:val="404040"/>
      </w:rPr>
      <w:tcPr>
        <w:tcBorders>
          <w:top w:val="single" w:color="4472C4"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8E2F2" w:themeFill="accent5" w:themeFillTint="34"/>
      </w:tcPr>
    </w:tblStylePr>
    <w:tblStylePr w:type="band1Horz">
      <w:rPr>
        <w:rFonts w:ascii="Arial" w:hAnsi="Arial"/>
        <w:color w:val="404040"/>
        <w:sz w:val="22"/>
      </w:rPr>
      <w:tcPr>
        <w:shd w:val="clear" w:color="auto" w:fill="D8E2F2" w:themeFill="accent5" w:themeFillTint="34"/>
      </w:tcPr>
    </w:tblStylePr>
    <w:tblStylePr w:type="neCell"/>
    <w:tblStylePr w:type="nwCell"/>
    <w:tblStylePr w:type="seCell"/>
    <w:tblStylePr w:type="swCell"/>
  </w:style>
  <w:style w:type="table" w:customStyle="1" w:styleId="72">
    <w:name w:val="Grid Table 2 - Accent 6"/>
    <w:basedOn w:val="28"/>
    <w:qFormat/>
    <w:uiPriority w:val="99"/>
    <w:pPr>
      <w:overflowPunct w:val="0"/>
      <w:autoSpaceDE w:val="0"/>
      <w:autoSpaceDN w:val="0"/>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auto" w:fill="FFFFFF"/>
      </w:tcPr>
    </w:tblStylePr>
    <w:tblStylePr w:type="lastRow">
      <w:rPr>
        <w:b/>
        <w:color w:val="404040"/>
      </w:r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tblStylePr w:type="neCell"/>
    <w:tblStylePr w:type="nwCell"/>
    <w:tblStylePr w:type="seCell"/>
    <w:tblStylePr w:type="swCell"/>
  </w:style>
  <w:style w:type="table" w:customStyle="1" w:styleId="73">
    <w:name w:val="Grid Table 3"/>
    <w:basedOn w:val="28"/>
    <w:qFormat/>
    <w:uiPriority w:val="99"/>
    <w:pPr>
      <w:overflowPunct w:val="0"/>
      <w:autoSpaceDE w:val="0"/>
      <w:autoSpaceDN w:val="0"/>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74">
    <w:name w:val="Grid Table 3 - Accent 1"/>
    <w:basedOn w:val="28"/>
    <w:qFormat/>
    <w:uiPriority w:val="99"/>
    <w:pPr>
      <w:overflowPunct w:val="0"/>
      <w:autoSpaceDE w:val="0"/>
      <w:autoSpaceDN w:val="0"/>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DDEAF6" w:themeFill="accent1" w:themeFillTint="34"/>
      </w:tcPr>
    </w:tblStylePr>
    <w:tblStylePr w:type="band1Horz">
      <w:rPr>
        <w:rFonts w:ascii="Arial" w:hAnsi="Arial"/>
        <w:color w:val="404040"/>
        <w:sz w:val="22"/>
      </w:rPr>
      <w:tcPr>
        <w:shd w:val="clear" w:color="auto" w:fill="DDEAF6" w:themeFill="accent1" w:themeFillTint="34"/>
      </w:tcPr>
    </w:tblStylePr>
    <w:tblStylePr w:type="neCell"/>
    <w:tblStylePr w:type="nwCell"/>
    <w:tblStylePr w:type="seCell"/>
    <w:tblStylePr w:type="swCell"/>
  </w:style>
  <w:style w:type="table" w:customStyle="1" w:styleId="75">
    <w:name w:val="Grid Table 3 - Accent 2"/>
    <w:basedOn w:val="28"/>
    <w:qFormat/>
    <w:uiPriority w:val="99"/>
    <w:pPr>
      <w:overflowPunct w:val="0"/>
      <w:autoSpaceDE w:val="0"/>
      <w:autoSpaceDN w:val="0"/>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tblStylePr w:type="neCell"/>
    <w:tblStylePr w:type="nwCell"/>
    <w:tblStylePr w:type="seCell"/>
    <w:tblStylePr w:type="swCell"/>
  </w:style>
  <w:style w:type="table" w:customStyle="1" w:styleId="76">
    <w:name w:val="Grid Table 3 - Accent 3"/>
    <w:basedOn w:val="28"/>
    <w:qFormat/>
    <w:uiPriority w:val="99"/>
    <w:pPr>
      <w:overflowPunct w:val="0"/>
      <w:autoSpaceDE w:val="0"/>
      <w:autoSpaceDN w:val="0"/>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tblStylePr w:type="neCell"/>
    <w:tblStylePr w:type="nwCell"/>
    <w:tblStylePr w:type="seCell"/>
    <w:tblStylePr w:type="swCell"/>
  </w:style>
  <w:style w:type="table" w:customStyle="1" w:styleId="77">
    <w:name w:val="Grid Table 3 - Accent 4"/>
    <w:basedOn w:val="28"/>
    <w:qFormat/>
    <w:uiPriority w:val="99"/>
    <w:pPr>
      <w:overflowPunct w:val="0"/>
      <w:autoSpaceDE w:val="0"/>
      <w:autoSpaceDN w:val="0"/>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tblStylePr w:type="neCell"/>
    <w:tblStylePr w:type="nwCell"/>
    <w:tblStylePr w:type="seCell"/>
    <w:tblStylePr w:type="swCell"/>
  </w:style>
  <w:style w:type="table" w:customStyle="1" w:styleId="78">
    <w:name w:val="Grid Table 3 - Accent 5"/>
    <w:basedOn w:val="28"/>
    <w:qFormat/>
    <w:uiPriority w:val="99"/>
    <w:pPr>
      <w:overflowPunct w:val="0"/>
      <w:autoSpaceDE w:val="0"/>
      <w:autoSpaceDN w:val="0"/>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D8E2F2" w:themeFill="accent5" w:themeFillTint="34"/>
      </w:tcPr>
    </w:tblStylePr>
    <w:tblStylePr w:type="band1Horz">
      <w:rPr>
        <w:rFonts w:ascii="Arial" w:hAnsi="Arial"/>
        <w:color w:val="404040"/>
        <w:sz w:val="22"/>
      </w:rPr>
      <w:tcPr>
        <w:shd w:val="clear" w:color="auto" w:fill="D8E2F2" w:themeFill="accent5" w:themeFillTint="34"/>
      </w:tcPr>
    </w:tblStylePr>
    <w:tblStylePr w:type="neCell"/>
    <w:tblStylePr w:type="nwCell"/>
    <w:tblStylePr w:type="seCell"/>
    <w:tblStylePr w:type="swCell"/>
  </w:style>
  <w:style w:type="table" w:customStyle="1" w:styleId="79">
    <w:name w:val="Grid Table 3 - Accent 6"/>
    <w:basedOn w:val="28"/>
    <w:qFormat/>
    <w:uiPriority w:val="99"/>
    <w:pPr>
      <w:overflowPunct w:val="0"/>
      <w:autoSpaceDE w:val="0"/>
      <w:autoSpaceDN w:val="0"/>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tblStylePr w:type="neCell"/>
    <w:tblStylePr w:type="nwCell"/>
    <w:tblStylePr w:type="seCell"/>
    <w:tblStylePr w:type="swCell"/>
  </w:style>
  <w:style w:type="table" w:customStyle="1" w:styleId="80">
    <w:name w:val="Grid Table 4"/>
    <w:basedOn w:val="28"/>
    <w:qFormat/>
    <w:uiPriority w:val="59"/>
    <w:pPr>
      <w:overflowPunct w:val="0"/>
      <w:autoSpaceDE w:val="0"/>
      <w:autoSpaceDN w:val="0"/>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81">
    <w:name w:val="Grid Table 4 - Accent 1"/>
    <w:basedOn w:val="28"/>
    <w:qFormat/>
    <w:uiPriority w:val="59"/>
    <w:pPr>
      <w:overflowPunct w:val="0"/>
      <w:autoSpaceDE w:val="0"/>
      <w:autoSpaceDN w:val="0"/>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auto"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EEBF6" w:themeFill="accent1" w:themeFillTint="32"/>
      </w:tcPr>
    </w:tblStylePr>
    <w:tblStylePr w:type="band1Horz">
      <w:rPr>
        <w:rFonts w:ascii="Arial" w:hAnsi="Arial"/>
        <w:color w:val="404040"/>
        <w:sz w:val="22"/>
      </w:rPr>
      <w:tcPr>
        <w:shd w:val="clear" w:color="auto" w:fill="DEEBF6" w:themeFill="accent1" w:themeFillTint="32"/>
      </w:tcPr>
    </w:tblStylePr>
    <w:tblStylePr w:type="neCell"/>
    <w:tblStylePr w:type="nwCell"/>
    <w:tblStylePr w:type="seCell"/>
    <w:tblStylePr w:type="swCell"/>
  </w:style>
  <w:style w:type="table" w:customStyle="1" w:styleId="82">
    <w:name w:val="Grid Table 4 - Accent 2"/>
    <w:basedOn w:val="28"/>
    <w:qFormat/>
    <w:uiPriority w:val="59"/>
    <w:pPr>
      <w:overflowPunct w:val="0"/>
      <w:autoSpaceDE w:val="0"/>
      <w:autoSpaceDN w:val="0"/>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tblStylePr w:type="neCell"/>
    <w:tblStylePr w:type="nwCell"/>
    <w:tblStylePr w:type="seCell"/>
    <w:tblStylePr w:type="swCell"/>
  </w:style>
  <w:style w:type="table" w:customStyle="1" w:styleId="83">
    <w:name w:val="Grid Table 4 - Accent 3"/>
    <w:basedOn w:val="28"/>
    <w:qFormat/>
    <w:uiPriority w:val="59"/>
    <w:pPr>
      <w:overflowPunct w:val="0"/>
      <w:autoSpaceDE w:val="0"/>
      <w:autoSpaceDN w:val="0"/>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tblStylePr w:type="neCell"/>
    <w:tblStylePr w:type="nwCell"/>
    <w:tblStylePr w:type="seCell"/>
    <w:tblStylePr w:type="swCell"/>
  </w:style>
  <w:style w:type="table" w:customStyle="1" w:styleId="84">
    <w:name w:val="Grid Table 4 - Accent 4"/>
    <w:basedOn w:val="28"/>
    <w:qFormat/>
    <w:uiPriority w:val="59"/>
    <w:pPr>
      <w:overflowPunct w:val="0"/>
      <w:autoSpaceDE w:val="0"/>
      <w:autoSpaceDN w:val="0"/>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tblStylePr w:type="neCell"/>
    <w:tblStylePr w:type="nwCell"/>
    <w:tblStylePr w:type="seCell"/>
    <w:tblStylePr w:type="swCell"/>
  </w:style>
  <w:style w:type="table" w:customStyle="1" w:styleId="85">
    <w:name w:val="Grid Table 4 - Accent 5"/>
    <w:basedOn w:val="28"/>
    <w:qFormat/>
    <w:uiPriority w:val="59"/>
    <w:pPr>
      <w:overflowPunct w:val="0"/>
      <w:autoSpaceDE w:val="0"/>
      <w:autoSpaceDN w:val="0"/>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auto"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8E2F2" w:themeFill="accent5" w:themeFillTint="34"/>
      </w:tcPr>
    </w:tblStylePr>
    <w:tblStylePr w:type="band1Horz">
      <w:rPr>
        <w:rFonts w:ascii="Arial" w:hAnsi="Arial"/>
        <w:color w:val="404040"/>
        <w:sz w:val="22"/>
      </w:rPr>
      <w:tcPr>
        <w:shd w:val="clear" w:color="auto" w:fill="D8E2F2" w:themeFill="accent5" w:themeFillTint="34"/>
      </w:tcPr>
    </w:tblStylePr>
    <w:tblStylePr w:type="neCell"/>
    <w:tblStylePr w:type="nwCell"/>
    <w:tblStylePr w:type="seCell"/>
    <w:tblStylePr w:type="swCell"/>
  </w:style>
  <w:style w:type="table" w:customStyle="1" w:styleId="86">
    <w:name w:val="Grid Table 4 - Accent 6"/>
    <w:basedOn w:val="28"/>
    <w:qFormat/>
    <w:uiPriority w:val="59"/>
    <w:pPr>
      <w:overflowPunct w:val="0"/>
      <w:autoSpaceDE w:val="0"/>
      <w:autoSpaceDN w:val="0"/>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tblStylePr w:type="neCell"/>
    <w:tblStylePr w:type="nwCell"/>
    <w:tblStylePr w:type="seCell"/>
    <w:tblStylePr w:type="swCell"/>
  </w:style>
  <w:style w:type="table" w:customStyle="1" w:styleId="87">
    <w:name w:val="Grid Table 5 Dark"/>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000000" w:themeFill="text1"/>
      </w:tcPr>
    </w:tblStylePr>
    <w:tblStylePr w:type="lastRow">
      <w:rPr>
        <w:rFonts w:ascii="Arial" w:hAnsi="Arial"/>
        <w:b/>
        <w:color w:val="FFFFFF"/>
        <w:sz w:val="22"/>
      </w:rPr>
      <w:tcPr>
        <w:tcBorders>
          <w:top w:val="single" w:color="FFFFFF" w:themeColor="light1" w:sz="4" w:space="0"/>
        </w:tcBorders>
        <w:shd w:val="clear" w:color="auto" w:fill="000000" w:themeFill="text1"/>
      </w:tcPr>
    </w:tblStylePr>
    <w:tblStylePr w:type="firstCol">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band1Vert">
      <w:tcPr>
        <w:shd w:val="clear" w:color="auto" w:fill="898989" w:themeFill="text1" w:themeFillTint="75"/>
      </w:tcPr>
    </w:tblStylePr>
    <w:tblStylePr w:type="band1Horz">
      <w:tcPr>
        <w:shd w:val="clear" w:color="auto" w:fill="898989" w:themeFill="text1" w:themeFillTint="75"/>
      </w:tcPr>
    </w:tblStylePr>
    <w:tblStylePr w:type="neCell"/>
    <w:tblStylePr w:type="nwCell"/>
    <w:tblStylePr w:type="seCell"/>
    <w:tblStylePr w:type="swCell"/>
  </w:style>
  <w:style w:type="table" w:customStyle="1" w:styleId="88">
    <w:name w:val="Grid Table 5 Dark- Accent 1"/>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5B9BD5" w:themeFill="accent1"/>
      </w:tcPr>
    </w:tblStylePr>
    <w:tblStylePr w:type="lastRow">
      <w:rPr>
        <w:rFonts w:ascii="Arial" w:hAnsi="Arial"/>
        <w:b/>
        <w:color w:val="FFFFFF"/>
        <w:sz w:val="22"/>
      </w:rPr>
      <w:tcPr>
        <w:tcBorders>
          <w:top w:val="single" w:color="FFFFFF" w:themeColor="light1" w:sz="4" w:space="0"/>
        </w:tcBorders>
        <w:shd w:val="clear" w:color="auto" w:fill="5B9BD5" w:themeFill="accent1"/>
      </w:tcPr>
    </w:tblStylePr>
    <w:tblStylePr w:type="firstCol">
      <w:rPr>
        <w:rFonts w:ascii="Arial" w:hAnsi="Arial"/>
        <w:b/>
        <w:color w:val="FFFFFF"/>
        <w:sz w:val="22"/>
      </w:rPr>
      <w:tcPr>
        <w:shd w:val="clear" w:color="auto" w:fill="5B9BD5" w:themeFill="accent1"/>
      </w:tcPr>
    </w:tblStylePr>
    <w:tblStylePr w:type="lastCol">
      <w:rPr>
        <w:rFonts w:ascii="Arial" w:hAnsi="Arial"/>
        <w:b/>
        <w:color w:val="FFFFFF"/>
        <w:sz w:val="22"/>
      </w:rPr>
      <w:tcPr>
        <w:shd w:val="clear" w:color="auto" w:fill="5B9BD5" w:themeFill="accent1"/>
      </w:tcPr>
    </w:tblStylePr>
    <w:tblStylePr w:type="band1Vert">
      <w:tcPr>
        <w:shd w:val="clear" w:color="auto" w:fill="B3D1EB" w:themeFill="accent1" w:themeFillTint="75"/>
      </w:tcPr>
    </w:tblStylePr>
    <w:tblStylePr w:type="band1Horz">
      <w:tcPr>
        <w:shd w:val="clear" w:color="auto" w:fill="B3D1EB" w:themeFill="accent1" w:themeFillTint="75"/>
      </w:tcPr>
    </w:tblStylePr>
    <w:tblStylePr w:type="neCell"/>
    <w:tblStylePr w:type="nwCell"/>
    <w:tblStylePr w:type="seCell"/>
    <w:tblStylePr w:type="swCell"/>
  </w:style>
  <w:style w:type="table" w:customStyle="1" w:styleId="89">
    <w:name w:val="Grid Table 5 Dark - Accent 2"/>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ED7D31" w:themeFill="accent2"/>
      </w:tcPr>
    </w:tblStylePr>
    <w:tblStylePr w:type="lastRow">
      <w:rPr>
        <w:rFonts w:ascii="Arial" w:hAnsi="Arial"/>
        <w:b/>
        <w:color w:val="FFFFFF"/>
        <w:sz w:val="22"/>
      </w:rPr>
      <w:tcPr>
        <w:tcBorders>
          <w:top w:val="single" w:color="FFFFFF" w:themeColor="light1" w:sz="4" w:space="0"/>
        </w:tcBorders>
        <w:shd w:val="clear" w:color="auto" w:fill="ED7D31" w:themeFill="accent2"/>
      </w:tcPr>
    </w:tblStylePr>
    <w:tblStylePr w:type="firstCol">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band1Vert">
      <w:tcPr>
        <w:shd w:val="clear" w:color="auto" w:fill="F6C3A0" w:themeFill="accent2" w:themeFillTint="75"/>
      </w:tcPr>
    </w:tblStylePr>
    <w:tblStylePr w:type="band1Horz">
      <w:tcPr>
        <w:shd w:val="clear" w:color="auto" w:fill="F6C3A0" w:themeFill="accent2" w:themeFillTint="75"/>
      </w:tcPr>
    </w:tblStylePr>
    <w:tblStylePr w:type="neCell"/>
    <w:tblStylePr w:type="nwCell"/>
    <w:tblStylePr w:type="seCell"/>
    <w:tblStylePr w:type="swCell"/>
  </w:style>
  <w:style w:type="table" w:customStyle="1" w:styleId="90">
    <w:name w:val="Grid Table 5 Dark - Accent 3"/>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A5A5A5" w:themeFill="accent3"/>
      </w:tcPr>
    </w:tblStylePr>
    <w:tblStylePr w:type="lastRow">
      <w:rPr>
        <w:rFonts w:ascii="Arial" w:hAnsi="Arial"/>
        <w:b/>
        <w:color w:val="FFFFFF"/>
        <w:sz w:val="22"/>
      </w:rPr>
      <w:tcPr>
        <w:tcBorders>
          <w:top w:val="single" w:color="FFFFFF" w:themeColor="light1" w:sz="4" w:space="0"/>
        </w:tcBorders>
        <w:shd w:val="clear" w:color="auto" w:fill="A5A5A5" w:themeFill="accent3"/>
      </w:tcPr>
    </w:tblStylePr>
    <w:tblStylePr w:type="firstCol">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band1Vert">
      <w:tcPr>
        <w:shd w:val="clear" w:color="auto" w:fill="D5D5D5" w:themeFill="accent3" w:themeFillTint="75"/>
      </w:tcPr>
    </w:tblStylePr>
    <w:tblStylePr w:type="band1Horz">
      <w:tcPr>
        <w:shd w:val="clear" w:color="auto" w:fill="D5D5D5" w:themeFill="accent3" w:themeFillTint="75"/>
      </w:tcPr>
    </w:tblStylePr>
    <w:tblStylePr w:type="neCell"/>
    <w:tblStylePr w:type="nwCell"/>
    <w:tblStylePr w:type="seCell"/>
    <w:tblStylePr w:type="swCell"/>
  </w:style>
  <w:style w:type="table" w:customStyle="1" w:styleId="91">
    <w:name w:val="Grid Table 5 Dark- Accent 4"/>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FFC000" w:themeFill="accent4"/>
      </w:tcPr>
    </w:tblStylePr>
    <w:tblStylePr w:type="lastRow">
      <w:rPr>
        <w:rFonts w:ascii="Arial" w:hAnsi="Arial"/>
        <w:b/>
        <w:color w:val="FFFFFF"/>
        <w:sz w:val="22"/>
      </w:rPr>
      <w:tcPr>
        <w:tcBorders>
          <w:top w:val="single" w:color="FFFFFF" w:themeColor="light1" w:sz="4" w:space="0"/>
        </w:tcBorders>
        <w:shd w:val="clear" w:color="auto" w:fill="FFC000" w:themeFill="accent4"/>
      </w:tcPr>
    </w:tblStylePr>
    <w:tblStylePr w:type="firstCol">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band1Vert">
      <w:tcPr>
        <w:shd w:val="clear" w:color="auto" w:fill="FEE289" w:themeFill="accent4" w:themeFillTint="75"/>
      </w:tcPr>
    </w:tblStylePr>
    <w:tblStylePr w:type="band1Horz">
      <w:tcPr>
        <w:shd w:val="clear" w:color="auto" w:fill="FEE289" w:themeFill="accent4" w:themeFillTint="75"/>
      </w:tcPr>
    </w:tblStylePr>
    <w:tblStylePr w:type="neCell"/>
    <w:tblStylePr w:type="nwCell"/>
    <w:tblStylePr w:type="seCell"/>
    <w:tblStylePr w:type="swCell"/>
  </w:style>
  <w:style w:type="table" w:customStyle="1" w:styleId="92">
    <w:name w:val="Grid Table 5 Dark - Accent 5"/>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472C4" w:themeFill="accent5"/>
      </w:tcPr>
    </w:tblStylePr>
    <w:tblStylePr w:type="lastRow">
      <w:rPr>
        <w:rFonts w:ascii="Arial" w:hAnsi="Arial"/>
        <w:b/>
        <w:color w:val="FFFFFF"/>
        <w:sz w:val="22"/>
      </w:rPr>
      <w:tcPr>
        <w:tcBorders>
          <w:top w:val="single" w:color="FFFFFF" w:themeColor="light1" w:sz="4" w:space="0"/>
        </w:tcBorders>
        <w:shd w:val="clear" w:color="auto" w:fill="4472C4" w:themeFill="accent5"/>
      </w:tcPr>
    </w:tblStylePr>
    <w:tblStylePr w:type="firstCol">
      <w:rPr>
        <w:rFonts w:ascii="Arial" w:hAnsi="Arial"/>
        <w:b/>
        <w:color w:val="FFFFFF"/>
        <w:sz w:val="22"/>
      </w:rPr>
      <w:tcPr>
        <w:shd w:val="clear" w:color="auto" w:fill="4472C4" w:themeFill="accent5"/>
      </w:tcPr>
    </w:tblStylePr>
    <w:tblStylePr w:type="lastCol">
      <w:rPr>
        <w:rFonts w:ascii="Arial" w:hAnsi="Arial"/>
        <w:b/>
        <w:color w:val="FFFFFF"/>
        <w:sz w:val="22"/>
      </w:rPr>
      <w:tcPr>
        <w:shd w:val="clear" w:color="auto" w:fill="4472C4" w:themeFill="accent5"/>
      </w:tcPr>
    </w:tblStylePr>
    <w:tblStylePr w:type="band1Vert">
      <w:tcPr>
        <w:shd w:val="clear" w:color="auto" w:fill="A9BEE3" w:themeFill="accent5" w:themeFillTint="75"/>
      </w:tcPr>
    </w:tblStylePr>
    <w:tblStylePr w:type="band1Horz">
      <w:tcPr>
        <w:shd w:val="clear" w:color="auto" w:fill="A9BEE3" w:themeFill="accent5" w:themeFillTint="75"/>
      </w:tcPr>
    </w:tblStylePr>
    <w:tblStylePr w:type="neCell"/>
    <w:tblStylePr w:type="nwCell"/>
    <w:tblStylePr w:type="seCell"/>
    <w:tblStylePr w:type="swCell"/>
  </w:style>
  <w:style w:type="table" w:customStyle="1" w:styleId="93">
    <w:name w:val="Grid Table 5 Dark - Accent 6"/>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70AD47" w:themeFill="accent6"/>
      </w:tcPr>
    </w:tblStylePr>
    <w:tblStylePr w:type="lastRow">
      <w:rPr>
        <w:rFonts w:ascii="Arial" w:hAnsi="Arial"/>
        <w:b/>
        <w:color w:val="FFFFFF"/>
        <w:sz w:val="22"/>
      </w:rPr>
      <w:tcPr>
        <w:tcBorders>
          <w:top w:val="single" w:color="FFFFFF" w:themeColor="light1" w:sz="4" w:space="0"/>
        </w:tcBorders>
        <w:shd w:val="clear" w:color="auto" w:fill="70AD47" w:themeFill="accent6"/>
      </w:tcPr>
    </w:tblStylePr>
    <w:tblStylePr w:type="firstCol">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band1Vert">
      <w:tcPr>
        <w:shd w:val="clear" w:color="auto" w:fill="BCDBA8" w:themeFill="accent6" w:themeFillTint="75"/>
      </w:tcPr>
    </w:tblStylePr>
    <w:tblStylePr w:type="band1Horz">
      <w:tcPr>
        <w:shd w:val="clear" w:color="auto" w:fill="BCDBA8" w:themeFill="accent6" w:themeFillTint="75"/>
      </w:tcPr>
    </w:tblStylePr>
    <w:tblStylePr w:type="neCell"/>
    <w:tblStylePr w:type="nwCell"/>
    <w:tblStylePr w:type="seCell"/>
    <w:tblStylePr w:type="swCell"/>
  </w:style>
  <w:style w:type="table" w:customStyle="1" w:styleId="94">
    <w:name w:val="Grid Table 6 Colorful"/>
    <w:basedOn w:val="28"/>
    <w:qFormat/>
    <w:uiPriority w:val="99"/>
    <w:pPr>
      <w:overflowPunct w:val="0"/>
      <w:autoSpaceDE w:val="0"/>
      <w:autoSpaceDN w:val="0"/>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auto"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5">
    <w:name w:val="Grid Table 6 Colorful - Accent 1"/>
    <w:basedOn w:val="28"/>
    <w:qFormat/>
    <w:uiPriority w:val="99"/>
    <w:pPr>
      <w:overflowPunct w:val="0"/>
      <w:autoSpaceDE w:val="0"/>
      <w:autoSpaceDN w:val="0"/>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auto"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auto"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96">
    <w:name w:val="Grid Table 6 Colorful - Accent 2"/>
    <w:basedOn w:val="28"/>
    <w:qFormat/>
    <w:uiPriority w:val="99"/>
    <w:pPr>
      <w:overflowPunct w:val="0"/>
      <w:autoSpaceDE w:val="0"/>
      <w:autoSpaceDN w:val="0"/>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97">
    <w:name w:val="Grid Table 6 Colorful - Accent 3"/>
    <w:basedOn w:val="28"/>
    <w:qFormat/>
    <w:uiPriority w:val="99"/>
    <w:pPr>
      <w:overflowPunct w:val="0"/>
      <w:autoSpaceDE w:val="0"/>
      <w:autoSpaceDN w:val="0"/>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auto"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auto"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98">
    <w:name w:val="Grid Table 6 Colorful - Accent 4"/>
    <w:basedOn w:val="28"/>
    <w:qFormat/>
    <w:uiPriority w:val="99"/>
    <w:pPr>
      <w:overflowPunct w:val="0"/>
      <w:autoSpaceDE w:val="0"/>
      <w:autoSpaceDN w:val="0"/>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99">
    <w:name w:val="Grid Table 6 Colorful - Accent 5"/>
    <w:basedOn w:val="28"/>
    <w:qFormat/>
    <w:uiPriority w:val="99"/>
    <w:pPr>
      <w:overflowPunct w:val="0"/>
      <w:autoSpaceDE w:val="0"/>
      <w:autoSpaceDN w:val="0"/>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auto" w:fill="D8E2F2" w:themeFill="accent5" w:themeFillTint="34"/>
      </w:tcPr>
    </w:tblStylePr>
    <w:tblStylePr w:type="band2Vert"/>
    <w:tblStylePr w:type="band1Horz">
      <w:rPr>
        <w:rFonts w:ascii="Arial" w:hAnsi="Arial"/>
        <w:color w:val="254174" w:themeColor="accent5" w:themeShade="94"/>
        <w:sz w:val="22"/>
      </w:rPr>
      <w:tcPr>
        <w:shd w:val="clear" w:color="auto"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100">
    <w:name w:val="Grid Table 6 Colorful - Accent 6"/>
    <w:basedOn w:val="28"/>
    <w:qFormat/>
    <w:uiPriority w:val="99"/>
    <w:pPr>
      <w:overflowPunct w:val="0"/>
      <w:autoSpaceDE w:val="0"/>
      <w:autoSpaceDN w:val="0"/>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auto" w:fill="E1EFD8" w:themeFill="accent6" w:themeFillTint="34"/>
      </w:tcPr>
    </w:tblStylePr>
    <w:tblStylePr w:type="band2Vert"/>
    <w:tblStylePr w:type="band1Horz">
      <w:rPr>
        <w:rFonts w:ascii="Arial" w:hAnsi="Arial"/>
        <w:color w:val="254174" w:themeColor="accent5" w:themeShade="94"/>
        <w:sz w:val="22"/>
      </w:rPr>
      <w:tcPr>
        <w:shd w:val="clear" w:color="auto"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101">
    <w:name w:val="Grid Table 7 Colorful"/>
    <w:basedOn w:val="28"/>
    <w:qFormat/>
    <w:uiPriority w:val="99"/>
    <w:pPr>
      <w:overflowPunct w:val="0"/>
      <w:autoSpaceDE w:val="0"/>
      <w:autoSpaceDN w:val="0"/>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auto"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2">
    <w:name w:val="Grid Table 7 Colorful - Accent 1"/>
    <w:basedOn w:val="28"/>
    <w:qFormat/>
    <w:uiPriority w:val="99"/>
    <w:pPr>
      <w:overflowPunct w:val="0"/>
      <w:autoSpaceDE w:val="0"/>
      <w:autoSpaceDN w:val="0"/>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auto"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auto"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auto"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3">
    <w:name w:val="Grid Table 7 Colorful - Accent 2"/>
    <w:basedOn w:val="28"/>
    <w:qFormat/>
    <w:uiPriority w:val="99"/>
    <w:pPr>
      <w:overflowPunct w:val="0"/>
      <w:autoSpaceDE w:val="0"/>
      <w:autoSpaceDN w:val="0"/>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auto"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4">
    <w:name w:val="Grid Table 7 Colorful - Accent 3"/>
    <w:basedOn w:val="28"/>
    <w:qFormat/>
    <w:uiPriority w:val="99"/>
    <w:pPr>
      <w:overflowPunct w:val="0"/>
      <w:autoSpaceDE w:val="0"/>
      <w:autoSpaceDN w:val="0"/>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auto"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auto"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5">
    <w:name w:val="Grid Table 7 Colorful - Accent 4"/>
    <w:basedOn w:val="28"/>
    <w:qFormat/>
    <w:uiPriority w:val="99"/>
    <w:pPr>
      <w:overflowPunct w:val="0"/>
      <w:autoSpaceDE w:val="0"/>
      <w:autoSpaceDN w:val="0"/>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auto"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6">
    <w:name w:val="Grid Table 7 Colorful - Accent 5"/>
    <w:basedOn w:val="28"/>
    <w:qFormat/>
    <w:uiPriority w:val="99"/>
    <w:pPr>
      <w:overflowPunct w:val="0"/>
      <w:autoSpaceDE w:val="0"/>
      <w:autoSpaceDN w:val="0"/>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auto"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auto" w:fill="D8E2F2" w:themeFill="accent5" w:themeFillTint="34"/>
      </w:tcPr>
    </w:tblStylePr>
    <w:tblStylePr w:type="band2Vert"/>
    <w:tblStylePr w:type="band1Horz">
      <w:rPr>
        <w:rFonts w:ascii="Arial" w:hAnsi="Arial"/>
        <w:color w:val="254174" w:themeColor="accent5" w:themeShade="94"/>
        <w:sz w:val="22"/>
      </w:rPr>
      <w:tcPr>
        <w:shd w:val="clear" w:color="auto"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107">
    <w:name w:val="Grid Table 7 Colorful - Accent 6"/>
    <w:basedOn w:val="28"/>
    <w:qFormat/>
    <w:uiPriority w:val="99"/>
    <w:pPr>
      <w:overflowPunct w:val="0"/>
      <w:autoSpaceDE w:val="0"/>
      <w:autoSpaceDN w:val="0"/>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auto" w:fill="E1EFD8" w:themeFill="accent6" w:themeFillTint="34"/>
      </w:tcPr>
    </w:tblStylePr>
    <w:tblStylePr w:type="band2Vert"/>
    <w:tblStylePr w:type="band1Horz">
      <w:rPr>
        <w:rFonts w:ascii="Arial" w:hAnsi="Arial"/>
        <w:color w:val="416429" w:themeColor="accent6" w:themeShade="94"/>
        <w:sz w:val="22"/>
      </w:rPr>
      <w:tcPr>
        <w:shd w:val="clear" w:color="auto"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108">
    <w:name w:val="List Table 1 Light"/>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BEBEBE" w:themeFill="text1" w:themeFillTint="40"/>
      </w:tcPr>
    </w:tblStylePr>
    <w:tblStylePr w:type="band1Horz">
      <w:tcPr>
        <w:shd w:val="clear" w:color="auto" w:fill="BEBEBE" w:themeFill="text1" w:themeFillTint="40"/>
      </w:tcPr>
    </w:tblStylePr>
    <w:tblStylePr w:type="neCell"/>
    <w:tblStylePr w:type="nwCell"/>
    <w:tblStylePr w:type="seCell"/>
    <w:tblStylePr w:type="swCell"/>
  </w:style>
  <w:style w:type="table" w:customStyle="1" w:styleId="109">
    <w:name w:val="List Table 1 Light - Accent 1"/>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5E5F4" w:themeFill="accent1" w:themeFillTint="40"/>
      </w:tcPr>
    </w:tblStylePr>
    <w:tblStylePr w:type="band1Horz">
      <w:tcPr>
        <w:shd w:val="clear" w:color="auto" w:fill="D5E5F4" w:themeFill="accent1" w:themeFillTint="40"/>
      </w:tcPr>
    </w:tblStylePr>
    <w:tblStylePr w:type="neCell"/>
    <w:tblStylePr w:type="nwCell"/>
    <w:tblStylePr w:type="seCell"/>
    <w:tblStylePr w:type="swCell"/>
  </w:style>
  <w:style w:type="table" w:customStyle="1" w:styleId="110">
    <w:name w:val="List Table 1 Light - Accent 2"/>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ADECB" w:themeFill="accent2" w:themeFillTint="40"/>
      </w:tcPr>
    </w:tblStylePr>
    <w:tblStylePr w:type="band1Horz">
      <w:tcPr>
        <w:shd w:val="clear" w:color="auto" w:fill="FADECB" w:themeFill="accent2" w:themeFillTint="40"/>
      </w:tcPr>
    </w:tblStylePr>
    <w:tblStylePr w:type="neCell"/>
    <w:tblStylePr w:type="nwCell"/>
    <w:tblStylePr w:type="seCell"/>
    <w:tblStylePr w:type="swCell"/>
  </w:style>
  <w:style w:type="table" w:customStyle="1" w:styleId="111">
    <w:name w:val="List Table 1 Light - Accent 3"/>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8E8E8" w:themeFill="accent3" w:themeFillTint="40"/>
      </w:tcPr>
    </w:tblStylePr>
    <w:tblStylePr w:type="band1Horz">
      <w:tcPr>
        <w:shd w:val="clear" w:color="auto" w:fill="E8E8E8" w:themeFill="accent3" w:themeFillTint="40"/>
      </w:tcPr>
    </w:tblStylePr>
    <w:tblStylePr w:type="neCell"/>
    <w:tblStylePr w:type="nwCell"/>
    <w:tblStylePr w:type="seCell"/>
    <w:tblStylePr w:type="swCell"/>
  </w:style>
  <w:style w:type="table" w:customStyle="1" w:styleId="112">
    <w:name w:val="List Table 1 Light - Accent 4"/>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FEFBE" w:themeFill="accent4" w:themeFillTint="40"/>
      </w:tcPr>
    </w:tblStylePr>
    <w:tblStylePr w:type="band1Horz">
      <w:tcPr>
        <w:shd w:val="clear" w:color="auto" w:fill="FFEFBE" w:themeFill="accent4" w:themeFillTint="40"/>
      </w:tcPr>
    </w:tblStylePr>
    <w:tblStylePr w:type="neCell"/>
    <w:tblStylePr w:type="nwCell"/>
    <w:tblStylePr w:type="seCell"/>
    <w:tblStylePr w:type="swCell"/>
  </w:style>
  <w:style w:type="table" w:customStyle="1" w:styleId="113">
    <w:name w:val="List Table 1 Light - Accent 5"/>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0DBF0" w:themeFill="accent5" w:themeFillTint="40"/>
      </w:tcPr>
    </w:tblStylePr>
    <w:tblStylePr w:type="band1Horz">
      <w:tcPr>
        <w:shd w:val="clear" w:color="auto" w:fill="D0DBF0" w:themeFill="accent5" w:themeFillTint="40"/>
      </w:tcPr>
    </w:tblStylePr>
    <w:tblStylePr w:type="neCell"/>
    <w:tblStylePr w:type="nwCell"/>
    <w:tblStylePr w:type="seCell"/>
    <w:tblStylePr w:type="swCell"/>
  </w:style>
  <w:style w:type="table" w:customStyle="1" w:styleId="114">
    <w:name w:val="List Table 1 Light - Accent 6"/>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AEBCF" w:themeFill="accent6" w:themeFillTint="40"/>
      </w:tcPr>
    </w:tblStylePr>
    <w:tblStylePr w:type="band1Horz">
      <w:tcPr>
        <w:shd w:val="clear" w:color="auto" w:fill="DAEBCF" w:themeFill="accent6" w:themeFillTint="40"/>
      </w:tcPr>
    </w:tblStylePr>
    <w:tblStylePr w:type="neCell"/>
    <w:tblStylePr w:type="nwCell"/>
    <w:tblStylePr w:type="seCell"/>
    <w:tblStylePr w:type="swCell"/>
  </w:style>
  <w:style w:type="table" w:customStyle="1" w:styleId="115">
    <w:name w:val="List Table 2"/>
    <w:basedOn w:val="28"/>
    <w:qFormat/>
    <w:uiPriority w:val="99"/>
    <w:pPr>
      <w:overflowPunct w:val="0"/>
      <w:autoSpaceDE w:val="0"/>
      <w:autoSpaceDN w:val="0"/>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tblStylePr w:type="neCell"/>
    <w:tblStylePr w:type="nwCell"/>
    <w:tblStylePr w:type="seCell"/>
    <w:tblStylePr w:type="swCell"/>
  </w:style>
  <w:style w:type="table" w:customStyle="1" w:styleId="116">
    <w:name w:val="List Table 2 - Accent 1"/>
    <w:basedOn w:val="28"/>
    <w:qFormat/>
    <w:uiPriority w:val="99"/>
    <w:pPr>
      <w:overflowPunct w:val="0"/>
      <w:autoSpaceDE w:val="0"/>
      <w:autoSpaceDN w:val="0"/>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5E5F4" w:themeFill="accent1" w:themeFillTint="40"/>
      </w:tcPr>
    </w:tblStylePr>
    <w:tblStylePr w:type="band1Horz">
      <w:rPr>
        <w:rFonts w:ascii="Arial" w:hAnsi="Arial"/>
        <w:color w:val="404040"/>
        <w:sz w:val="22"/>
      </w:rPr>
      <w:tcPr>
        <w:shd w:val="clear" w:color="auto" w:fill="D5E5F4" w:themeFill="accent1" w:themeFillTint="40"/>
      </w:tcPr>
    </w:tblStylePr>
    <w:tblStylePr w:type="neCell"/>
    <w:tblStylePr w:type="nwCell"/>
    <w:tblStylePr w:type="seCell"/>
    <w:tblStylePr w:type="swCell"/>
  </w:style>
  <w:style w:type="table" w:customStyle="1" w:styleId="117">
    <w:name w:val="List Table 2 - Accent 2"/>
    <w:basedOn w:val="28"/>
    <w:qFormat/>
    <w:uiPriority w:val="99"/>
    <w:pPr>
      <w:overflowPunct w:val="0"/>
      <w:autoSpaceDE w:val="0"/>
      <w:autoSpaceDN w:val="0"/>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tblStylePr w:type="neCell"/>
    <w:tblStylePr w:type="nwCell"/>
    <w:tblStylePr w:type="seCell"/>
    <w:tblStylePr w:type="swCell"/>
  </w:style>
  <w:style w:type="table" w:customStyle="1" w:styleId="118">
    <w:name w:val="List Table 2 - Accent 3"/>
    <w:basedOn w:val="28"/>
    <w:qFormat/>
    <w:uiPriority w:val="99"/>
    <w:pPr>
      <w:overflowPunct w:val="0"/>
      <w:autoSpaceDE w:val="0"/>
      <w:autoSpaceDN w:val="0"/>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tblStylePr w:type="neCell"/>
    <w:tblStylePr w:type="nwCell"/>
    <w:tblStylePr w:type="seCell"/>
    <w:tblStylePr w:type="swCell"/>
  </w:style>
  <w:style w:type="table" w:customStyle="1" w:styleId="119">
    <w:name w:val="List Table 2 - Accent 4"/>
    <w:basedOn w:val="28"/>
    <w:qFormat/>
    <w:uiPriority w:val="99"/>
    <w:pPr>
      <w:overflowPunct w:val="0"/>
      <w:autoSpaceDE w:val="0"/>
      <w:autoSpaceDN w:val="0"/>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tblStylePr w:type="neCell"/>
    <w:tblStylePr w:type="nwCell"/>
    <w:tblStylePr w:type="seCell"/>
    <w:tblStylePr w:type="swCell"/>
  </w:style>
  <w:style w:type="table" w:customStyle="1" w:styleId="120">
    <w:name w:val="List Table 2 - Accent 5"/>
    <w:basedOn w:val="28"/>
    <w:qFormat/>
    <w:uiPriority w:val="99"/>
    <w:pPr>
      <w:overflowPunct w:val="0"/>
      <w:autoSpaceDE w:val="0"/>
      <w:autoSpaceDN w:val="0"/>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0DBF0" w:themeFill="accent5" w:themeFillTint="40"/>
      </w:tcPr>
    </w:tblStylePr>
    <w:tblStylePr w:type="band1Horz">
      <w:rPr>
        <w:rFonts w:ascii="Arial" w:hAnsi="Arial"/>
        <w:color w:val="404040"/>
        <w:sz w:val="22"/>
      </w:rPr>
      <w:tcPr>
        <w:shd w:val="clear" w:color="auto" w:fill="D0DBF0" w:themeFill="accent5" w:themeFillTint="40"/>
      </w:tcPr>
    </w:tblStylePr>
    <w:tblStylePr w:type="neCell"/>
    <w:tblStylePr w:type="nwCell"/>
    <w:tblStylePr w:type="seCell"/>
    <w:tblStylePr w:type="swCell"/>
  </w:style>
  <w:style w:type="table" w:customStyle="1" w:styleId="121">
    <w:name w:val="List Table 2 - Accent 6"/>
    <w:basedOn w:val="28"/>
    <w:qFormat/>
    <w:uiPriority w:val="99"/>
    <w:pPr>
      <w:overflowPunct w:val="0"/>
      <w:autoSpaceDE w:val="0"/>
      <w:autoSpaceDN w:val="0"/>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tblStylePr w:type="neCell"/>
    <w:tblStylePr w:type="nwCell"/>
    <w:tblStylePr w:type="seCell"/>
    <w:tblStylePr w:type="swCell"/>
  </w:style>
  <w:style w:type="table" w:customStyle="1" w:styleId="122">
    <w:name w:val="List Table 3"/>
    <w:basedOn w:val="28"/>
    <w:qFormat/>
    <w:uiPriority w:val="99"/>
    <w:pPr>
      <w:overflowPunct w:val="0"/>
      <w:autoSpaceDE w:val="0"/>
      <w:autoSpaceDN w:val="0"/>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3">
    <w:name w:val="List Table 3 - Accent 1"/>
    <w:basedOn w:val="28"/>
    <w:qFormat/>
    <w:uiPriority w:val="99"/>
    <w:pPr>
      <w:overflowPunct w:val="0"/>
      <w:autoSpaceDE w:val="0"/>
      <w:autoSpaceDN w:val="0"/>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24">
    <w:name w:val="List Table 3 - Accent 2"/>
    <w:basedOn w:val="28"/>
    <w:qFormat/>
    <w:uiPriority w:val="99"/>
    <w:pPr>
      <w:overflowPunct w:val="0"/>
      <w:autoSpaceDE w:val="0"/>
      <w:autoSpaceDN w:val="0"/>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25">
    <w:name w:val="List Table 3 - Accent 3"/>
    <w:basedOn w:val="28"/>
    <w:qFormat/>
    <w:uiPriority w:val="99"/>
    <w:pPr>
      <w:overflowPunct w:val="0"/>
      <w:autoSpaceDE w:val="0"/>
      <w:autoSpaceDN w:val="0"/>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26">
    <w:name w:val="List Table 3 - Accent 4"/>
    <w:basedOn w:val="28"/>
    <w:qFormat/>
    <w:uiPriority w:val="99"/>
    <w:pPr>
      <w:overflowPunct w:val="0"/>
      <w:autoSpaceDE w:val="0"/>
      <w:autoSpaceDN w:val="0"/>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27">
    <w:name w:val="List Table 3 - Accent 5"/>
    <w:basedOn w:val="28"/>
    <w:qFormat/>
    <w:uiPriority w:val="99"/>
    <w:pPr>
      <w:overflowPunct w:val="0"/>
      <w:autoSpaceDE w:val="0"/>
      <w:autoSpaceDN w:val="0"/>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auto"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28">
    <w:name w:val="List Table 3 - Accent 6"/>
    <w:basedOn w:val="28"/>
    <w:qFormat/>
    <w:uiPriority w:val="99"/>
    <w:pPr>
      <w:overflowPunct w:val="0"/>
      <w:autoSpaceDE w:val="0"/>
      <w:autoSpaceDN w:val="0"/>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29">
    <w:name w:val="List Table 4"/>
    <w:basedOn w:val="28"/>
    <w:qFormat/>
    <w:uiPriority w:val="99"/>
    <w:pPr>
      <w:overflowPunct w:val="0"/>
      <w:autoSpaceDE w:val="0"/>
      <w:autoSpaceDN w:val="0"/>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tblStylePr w:type="neCell"/>
    <w:tblStylePr w:type="nwCell"/>
    <w:tblStylePr w:type="seCell"/>
    <w:tblStylePr w:type="swCell"/>
  </w:style>
  <w:style w:type="table" w:customStyle="1" w:styleId="130">
    <w:name w:val="List Table 4 - Accent 1"/>
    <w:basedOn w:val="28"/>
    <w:qFormat/>
    <w:uiPriority w:val="99"/>
    <w:pPr>
      <w:overflowPunct w:val="0"/>
      <w:autoSpaceDE w:val="0"/>
      <w:autoSpaceDN w:val="0"/>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5E5F4" w:themeFill="accent1" w:themeFillTint="40"/>
      </w:tcPr>
    </w:tblStylePr>
    <w:tblStylePr w:type="band1Horz">
      <w:rPr>
        <w:rFonts w:ascii="Arial" w:hAnsi="Arial"/>
        <w:color w:val="404040"/>
        <w:sz w:val="22"/>
      </w:rPr>
      <w:tcPr>
        <w:shd w:val="clear" w:color="auto" w:fill="D5E5F4" w:themeFill="accent1" w:themeFillTint="40"/>
      </w:tcPr>
    </w:tblStylePr>
    <w:tblStylePr w:type="neCell"/>
    <w:tblStylePr w:type="nwCell"/>
    <w:tblStylePr w:type="seCell"/>
    <w:tblStylePr w:type="swCell"/>
  </w:style>
  <w:style w:type="table" w:customStyle="1" w:styleId="131">
    <w:name w:val="List Table 4 - Accent 2"/>
    <w:basedOn w:val="28"/>
    <w:qFormat/>
    <w:uiPriority w:val="99"/>
    <w:pPr>
      <w:overflowPunct w:val="0"/>
      <w:autoSpaceDE w:val="0"/>
      <w:autoSpaceDN w:val="0"/>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tblStylePr w:type="neCell"/>
    <w:tblStylePr w:type="nwCell"/>
    <w:tblStylePr w:type="seCell"/>
    <w:tblStylePr w:type="swCell"/>
  </w:style>
  <w:style w:type="table" w:customStyle="1" w:styleId="132">
    <w:name w:val="List Table 4 - Accent 3"/>
    <w:basedOn w:val="28"/>
    <w:qFormat/>
    <w:uiPriority w:val="99"/>
    <w:pPr>
      <w:overflowPunct w:val="0"/>
      <w:autoSpaceDE w:val="0"/>
      <w:autoSpaceDN w:val="0"/>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tblStylePr w:type="neCell"/>
    <w:tblStylePr w:type="nwCell"/>
    <w:tblStylePr w:type="seCell"/>
    <w:tblStylePr w:type="swCell"/>
  </w:style>
  <w:style w:type="table" w:customStyle="1" w:styleId="133">
    <w:name w:val="List Table 4 - Accent 4"/>
    <w:basedOn w:val="28"/>
    <w:qFormat/>
    <w:uiPriority w:val="99"/>
    <w:pPr>
      <w:overflowPunct w:val="0"/>
      <w:autoSpaceDE w:val="0"/>
      <w:autoSpaceDN w:val="0"/>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tblStylePr w:type="neCell"/>
    <w:tblStylePr w:type="nwCell"/>
    <w:tblStylePr w:type="seCell"/>
    <w:tblStylePr w:type="swCell"/>
  </w:style>
  <w:style w:type="table" w:customStyle="1" w:styleId="134">
    <w:name w:val="List Table 4 - Accent 5"/>
    <w:basedOn w:val="28"/>
    <w:qFormat/>
    <w:uiPriority w:val="99"/>
    <w:pPr>
      <w:overflowPunct w:val="0"/>
      <w:autoSpaceDE w:val="0"/>
      <w:autoSpaceDN w:val="0"/>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0DBF0" w:themeFill="accent5" w:themeFillTint="40"/>
      </w:tcPr>
    </w:tblStylePr>
    <w:tblStylePr w:type="band1Horz">
      <w:rPr>
        <w:rFonts w:ascii="Arial" w:hAnsi="Arial"/>
        <w:color w:val="404040"/>
        <w:sz w:val="22"/>
      </w:rPr>
      <w:tcPr>
        <w:shd w:val="clear" w:color="auto" w:fill="D0DBF0" w:themeFill="accent5" w:themeFillTint="40"/>
      </w:tcPr>
    </w:tblStylePr>
    <w:tblStylePr w:type="neCell"/>
    <w:tblStylePr w:type="nwCell"/>
    <w:tblStylePr w:type="seCell"/>
    <w:tblStylePr w:type="swCell"/>
  </w:style>
  <w:style w:type="table" w:customStyle="1" w:styleId="135">
    <w:name w:val="List Table 4 - Accent 6"/>
    <w:basedOn w:val="28"/>
    <w:qFormat/>
    <w:uiPriority w:val="99"/>
    <w:pPr>
      <w:overflowPunct w:val="0"/>
      <w:autoSpaceDE w:val="0"/>
      <w:autoSpaceDN w:val="0"/>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tblStylePr w:type="neCell"/>
    <w:tblStylePr w:type="nwCell"/>
    <w:tblStylePr w:type="seCell"/>
    <w:tblStylePr w:type="swCell"/>
  </w:style>
  <w:style w:type="table" w:customStyle="1" w:styleId="136">
    <w:name w:val="List Table 5 Dark"/>
    <w:basedOn w:val="28"/>
    <w:qFormat/>
    <w:uiPriority w:val="99"/>
    <w:pPr>
      <w:overflowPunct w:val="0"/>
      <w:autoSpaceDE w:val="0"/>
      <w:autoSpaceDN w:val="0"/>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auto"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7E7E7E" w:themeFill="text1" w:themeFillTint="80"/>
      </w:tcPr>
    </w:tblStylePr>
    <w:tblStylePr w:type="band2Horz">
      <w:tcPr>
        <w:tcBorders>
          <w:top w:val="single" w:color="FFFFFF" w:themeColor="light1" w:sz="4" w:space="0"/>
          <w:bottom w:val="single" w:color="FFFFFF" w:themeColor="light1" w:sz="4" w:space="0"/>
        </w:tcBorders>
        <w:shd w:val="clear" w:color="auto" w:fill="7E7E7E" w:themeFill="text1" w:themeFillTint="80"/>
      </w:tcPr>
    </w:tblStylePr>
    <w:tblStylePr w:type="neCell"/>
    <w:tblStylePr w:type="nwCell"/>
    <w:tblStylePr w:type="seCell"/>
    <w:tblStylePr w:type="swCell"/>
  </w:style>
  <w:style w:type="table" w:customStyle="1" w:styleId="137">
    <w:name w:val="List Table 5 Dark - Accent 1"/>
    <w:basedOn w:val="28"/>
    <w:qFormat/>
    <w:uiPriority w:val="99"/>
    <w:pPr>
      <w:overflowPunct w:val="0"/>
      <w:autoSpaceDE w:val="0"/>
      <w:autoSpaceDN w:val="0"/>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auto"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auto"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5B9BD5" w:themeFill="accent1"/>
      </w:tcPr>
    </w:tblStylePr>
    <w:tblStylePr w:type="band2Horz">
      <w:tcPr>
        <w:tcBorders>
          <w:top w:val="single" w:color="FFFFFF" w:themeColor="light1" w:sz="4" w:space="0"/>
          <w:bottom w:val="single" w:color="FFFFFF" w:themeColor="light1" w:sz="4" w:space="0"/>
        </w:tcBorders>
        <w:shd w:val="clear" w:color="auto" w:fill="5B9BD5" w:themeFill="accent1"/>
      </w:tcPr>
    </w:tblStylePr>
    <w:tblStylePr w:type="neCell"/>
    <w:tblStylePr w:type="nwCell"/>
    <w:tblStylePr w:type="seCell"/>
    <w:tblStylePr w:type="swCell"/>
  </w:style>
  <w:style w:type="table" w:customStyle="1" w:styleId="138">
    <w:name w:val="List Table 5 Dark - Accent 2"/>
    <w:basedOn w:val="28"/>
    <w:qFormat/>
    <w:uiPriority w:val="99"/>
    <w:pPr>
      <w:overflowPunct w:val="0"/>
      <w:autoSpaceDE w:val="0"/>
      <w:autoSpaceDN w:val="0"/>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auto"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4B285" w:themeFill="accent2" w:themeFillTint="97"/>
      </w:tcPr>
    </w:tblStylePr>
    <w:tblStylePr w:type="band2Horz">
      <w:tcPr>
        <w:tcBorders>
          <w:top w:val="single" w:color="FFFFFF" w:themeColor="light1" w:sz="4" w:space="0"/>
          <w:bottom w:val="single" w:color="FFFFFF" w:themeColor="light1" w:sz="4" w:space="0"/>
        </w:tcBorders>
        <w:shd w:val="clear" w:color="auto" w:fill="F4B285" w:themeFill="accent2" w:themeFillTint="97"/>
      </w:tcPr>
    </w:tblStylePr>
    <w:tblStylePr w:type="neCell"/>
    <w:tblStylePr w:type="nwCell"/>
    <w:tblStylePr w:type="seCell"/>
    <w:tblStylePr w:type="swCell"/>
  </w:style>
  <w:style w:type="table" w:customStyle="1" w:styleId="139">
    <w:name w:val="List Table 5 Dark - Accent 3"/>
    <w:basedOn w:val="28"/>
    <w:qFormat/>
    <w:uiPriority w:val="99"/>
    <w:pPr>
      <w:overflowPunct w:val="0"/>
      <w:autoSpaceDE w:val="0"/>
      <w:autoSpaceDN w:val="0"/>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auto"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C9C9C9" w:themeFill="accent3" w:themeFillTint="98"/>
      </w:tcPr>
    </w:tblStylePr>
    <w:tblStylePr w:type="band2Horz">
      <w:tcPr>
        <w:tcBorders>
          <w:top w:val="single" w:color="FFFFFF" w:themeColor="light1" w:sz="4" w:space="0"/>
          <w:bottom w:val="single" w:color="FFFFFF" w:themeColor="light1" w:sz="4" w:space="0"/>
        </w:tcBorders>
        <w:shd w:val="clear" w:color="auto" w:fill="C9C9C9" w:themeFill="accent3" w:themeFillTint="98"/>
      </w:tcPr>
    </w:tblStylePr>
    <w:tblStylePr w:type="neCell"/>
    <w:tblStylePr w:type="nwCell"/>
    <w:tblStylePr w:type="seCell"/>
    <w:tblStylePr w:type="swCell"/>
  </w:style>
  <w:style w:type="table" w:customStyle="1" w:styleId="140">
    <w:name w:val="List Table 5 Dark - Accent 4"/>
    <w:basedOn w:val="28"/>
    <w:qFormat/>
    <w:uiPriority w:val="99"/>
    <w:pPr>
      <w:overflowPunct w:val="0"/>
      <w:autoSpaceDE w:val="0"/>
      <w:autoSpaceDN w:val="0"/>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auto"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FD864" w:themeFill="accent4" w:themeFillTint="9A"/>
      </w:tcPr>
    </w:tblStylePr>
    <w:tblStylePr w:type="band2Horz">
      <w:tcPr>
        <w:tcBorders>
          <w:top w:val="single" w:color="FFFFFF" w:themeColor="light1" w:sz="4" w:space="0"/>
          <w:bottom w:val="single" w:color="FFFFFF" w:themeColor="light1" w:sz="4" w:space="0"/>
        </w:tcBorders>
        <w:shd w:val="clear" w:color="auto" w:fill="FFD864" w:themeFill="accent4" w:themeFillTint="9A"/>
      </w:tcPr>
    </w:tblStylePr>
    <w:tblStylePr w:type="neCell"/>
    <w:tblStylePr w:type="nwCell"/>
    <w:tblStylePr w:type="seCell"/>
    <w:tblStylePr w:type="swCell"/>
  </w:style>
  <w:style w:type="table" w:customStyle="1" w:styleId="141">
    <w:name w:val="List Table 5 Dark - Accent 5"/>
    <w:basedOn w:val="28"/>
    <w:qFormat/>
    <w:uiPriority w:val="99"/>
    <w:pPr>
      <w:overflowPunct w:val="0"/>
      <w:autoSpaceDE w:val="0"/>
      <w:autoSpaceDN w:val="0"/>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auto"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auto"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8EA9DB" w:themeFill="accent5" w:themeFillTint="9A"/>
      </w:tcPr>
    </w:tblStylePr>
    <w:tblStylePr w:type="band2Horz">
      <w:tcPr>
        <w:tcBorders>
          <w:top w:val="single" w:color="FFFFFF" w:themeColor="light1" w:sz="4" w:space="0"/>
          <w:bottom w:val="single" w:color="FFFFFF" w:themeColor="light1" w:sz="4" w:space="0"/>
        </w:tcBorders>
        <w:shd w:val="clear" w:color="auto" w:fill="8EA9DB" w:themeFill="accent5" w:themeFillTint="9A"/>
      </w:tcPr>
    </w:tblStylePr>
    <w:tblStylePr w:type="neCell"/>
    <w:tblStylePr w:type="nwCell"/>
    <w:tblStylePr w:type="seCell"/>
    <w:tblStylePr w:type="swCell"/>
  </w:style>
  <w:style w:type="table" w:customStyle="1" w:styleId="142">
    <w:name w:val="List Table 5 Dark - Accent 6"/>
    <w:basedOn w:val="28"/>
    <w:qFormat/>
    <w:uiPriority w:val="99"/>
    <w:pPr>
      <w:overflowPunct w:val="0"/>
      <w:autoSpaceDE w:val="0"/>
      <w:autoSpaceDN w:val="0"/>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uto"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A9D08E" w:themeFill="accent6" w:themeFillTint="98"/>
      </w:tcPr>
    </w:tblStylePr>
    <w:tblStylePr w:type="band2Horz">
      <w:tcPr>
        <w:tcBorders>
          <w:top w:val="single" w:color="FFFFFF" w:themeColor="light1" w:sz="4" w:space="0"/>
          <w:bottom w:val="single" w:color="FFFFFF" w:themeColor="light1" w:sz="4" w:space="0"/>
        </w:tcBorders>
        <w:shd w:val="clear" w:color="auto" w:fill="A9D08E" w:themeFill="accent6" w:themeFillTint="98"/>
      </w:tcPr>
    </w:tblStylePr>
    <w:tblStylePr w:type="neCell"/>
    <w:tblStylePr w:type="nwCell"/>
    <w:tblStylePr w:type="seCell"/>
    <w:tblStylePr w:type="swCell"/>
  </w:style>
  <w:style w:type="table" w:customStyle="1" w:styleId="143">
    <w:name w:val="List Table 6 Colorful"/>
    <w:basedOn w:val="28"/>
    <w:qFormat/>
    <w:uiPriority w:val="99"/>
    <w:pPr>
      <w:overflowPunct w:val="0"/>
      <w:autoSpaceDE w:val="0"/>
      <w:autoSpaceDN w:val="0"/>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auto"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4">
    <w:name w:val="List Table 6 Colorful - Accent 1"/>
    <w:basedOn w:val="28"/>
    <w:qFormat/>
    <w:uiPriority w:val="99"/>
    <w:pPr>
      <w:overflowPunct w:val="0"/>
      <w:autoSpaceDE w:val="0"/>
      <w:autoSpaceDN w:val="0"/>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auto" w:fill="D5E5F4" w:themeFill="accent1" w:themeFillTint="40"/>
      </w:tcPr>
    </w:tblStylePr>
    <w:tblStylePr w:type="band2Vert"/>
    <w:tblStylePr w:type="band1Horz">
      <w:rPr>
        <w:rFonts w:ascii="Arial" w:hAnsi="Arial"/>
        <w:color w:val="245B8C" w:themeColor="accent1" w:themeShade="94"/>
        <w:sz w:val="22"/>
      </w:rPr>
      <w:tcPr>
        <w:shd w:val="clear" w:color="auto"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45">
    <w:name w:val="List Table 6 Colorful - Accent 2"/>
    <w:basedOn w:val="28"/>
    <w:qFormat/>
    <w:uiPriority w:val="99"/>
    <w:pPr>
      <w:overflowPunct w:val="0"/>
      <w:autoSpaceDE w:val="0"/>
      <w:autoSpaceDN w:val="0"/>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6">
    <w:name w:val="List Table 6 Colorful - Accent 3"/>
    <w:basedOn w:val="28"/>
    <w:qFormat/>
    <w:uiPriority w:val="99"/>
    <w:pPr>
      <w:overflowPunct w:val="0"/>
      <w:autoSpaceDE w:val="0"/>
      <w:autoSpaceDN w:val="0"/>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auto"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47">
    <w:name w:val="List Table 6 Colorful - Accent 4"/>
    <w:basedOn w:val="28"/>
    <w:qFormat/>
    <w:uiPriority w:val="99"/>
    <w:pPr>
      <w:overflowPunct w:val="0"/>
      <w:autoSpaceDE w:val="0"/>
      <w:autoSpaceDN w:val="0"/>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48">
    <w:name w:val="List Table 6 Colorful - Accent 5"/>
    <w:basedOn w:val="28"/>
    <w:qFormat/>
    <w:uiPriority w:val="99"/>
    <w:pPr>
      <w:overflowPunct w:val="0"/>
      <w:autoSpaceDE w:val="0"/>
      <w:autoSpaceDN w:val="0"/>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auto"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auto"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49">
    <w:name w:val="List Table 6 Colorful - Accent 6"/>
    <w:basedOn w:val="28"/>
    <w:qFormat/>
    <w:uiPriority w:val="99"/>
    <w:pPr>
      <w:overflowPunct w:val="0"/>
      <w:autoSpaceDE w:val="0"/>
      <w:autoSpaceDN w:val="0"/>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auto"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0">
    <w:name w:val="List Table 7 Colorful"/>
    <w:basedOn w:val="28"/>
    <w:qFormat/>
    <w:uiPriority w:val="99"/>
    <w:pPr>
      <w:overflowPunct w:val="0"/>
      <w:autoSpaceDE w:val="0"/>
      <w:autoSpaceDN w:val="0"/>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auto"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1">
    <w:name w:val="List Table 7 Colorful - Accent 1"/>
    <w:basedOn w:val="28"/>
    <w:qFormat/>
    <w:uiPriority w:val="99"/>
    <w:pPr>
      <w:overflowPunct w:val="0"/>
      <w:autoSpaceDE w:val="0"/>
      <w:autoSpaceDN w:val="0"/>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auto"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auto" w:fill="D5E5F4" w:themeFill="accent1" w:themeFillTint="40"/>
      </w:tcPr>
    </w:tblStylePr>
    <w:tblStylePr w:type="band2Vert"/>
    <w:tblStylePr w:type="band1Horz">
      <w:rPr>
        <w:rFonts w:ascii="Arial" w:hAnsi="Arial"/>
        <w:color w:val="245B8C" w:themeColor="accent1" w:themeShade="94"/>
        <w:sz w:val="22"/>
      </w:rPr>
      <w:tcPr>
        <w:shd w:val="clear" w:color="auto"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52">
    <w:name w:val="List Table 7 Colorful - Accent 2"/>
    <w:basedOn w:val="28"/>
    <w:qFormat/>
    <w:uiPriority w:val="99"/>
    <w:pPr>
      <w:overflowPunct w:val="0"/>
      <w:autoSpaceDE w:val="0"/>
      <w:autoSpaceDN w:val="0"/>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auto"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3">
    <w:name w:val="List Table 7 Colorful - Accent 3"/>
    <w:basedOn w:val="28"/>
    <w:qFormat/>
    <w:uiPriority w:val="99"/>
    <w:pPr>
      <w:overflowPunct w:val="0"/>
      <w:autoSpaceDE w:val="0"/>
      <w:autoSpaceDN w:val="0"/>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auto"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4">
    <w:name w:val="List Table 7 Colorful - Accent 4"/>
    <w:basedOn w:val="28"/>
    <w:qFormat/>
    <w:uiPriority w:val="99"/>
    <w:pPr>
      <w:overflowPunct w:val="0"/>
      <w:autoSpaceDE w:val="0"/>
      <w:autoSpaceDN w:val="0"/>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auto"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5">
    <w:name w:val="List Table 7 Colorful - Accent 5"/>
    <w:basedOn w:val="28"/>
    <w:qFormat/>
    <w:uiPriority w:val="99"/>
    <w:pPr>
      <w:overflowPunct w:val="0"/>
      <w:autoSpaceDE w:val="0"/>
      <w:autoSpaceDN w:val="0"/>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auto"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auto"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auto"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6">
    <w:name w:val="List Table 7 Colorful - Accent 6"/>
    <w:basedOn w:val="28"/>
    <w:qFormat/>
    <w:uiPriority w:val="99"/>
    <w:pPr>
      <w:overflowPunct w:val="0"/>
      <w:autoSpaceDE w:val="0"/>
      <w:autoSpaceDN w:val="0"/>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auto"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7">
    <w:name w:val="Lined - Accent"/>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58">
    <w:name w:val="Lined - Accent 1"/>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68A3D8" w:themeFill="accent1" w:themeFillTint="EA"/>
      </w:tcPr>
    </w:tblStylePr>
    <w:tblStylePr w:type="lastRow">
      <w:rPr>
        <w:rFonts w:ascii="Arial" w:hAnsi="Arial"/>
        <w:color w:val="F2F2F2"/>
        <w:sz w:val="22"/>
      </w:rPr>
      <w:tcPr>
        <w:shd w:val="clear" w:color="auto" w:fill="68A3D8" w:themeFill="accent1" w:themeFillTint="EA"/>
      </w:tcPr>
    </w:tblStylePr>
    <w:tblStylePr w:type="firstCol">
      <w:rPr>
        <w:rFonts w:ascii="Arial" w:hAnsi="Arial"/>
        <w:color w:val="F2F2F2"/>
        <w:sz w:val="22"/>
      </w:rPr>
      <w:tcPr>
        <w:shd w:val="clear" w:color="auto" w:fill="68A3D8" w:themeFill="accent1" w:themeFillTint="EA"/>
      </w:tcPr>
    </w:tblStylePr>
    <w:tblStylePr w:type="lastCol">
      <w:rPr>
        <w:rFonts w:ascii="Arial" w:hAnsi="Arial"/>
        <w:color w:val="F2F2F2"/>
        <w:sz w:val="22"/>
      </w:rPr>
      <w:tcPr>
        <w:shd w:val="clear" w:color="auto"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BDFF1" w:themeFill="accent1" w:themeFillTint="50"/>
      </w:tcPr>
    </w:tblStylePr>
  </w:style>
  <w:style w:type="table" w:customStyle="1" w:styleId="159">
    <w:name w:val="Lined - Accent 2"/>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60">
    <w:name w:val="Lined - Accent 3"/>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61">
    <w:name w:val="Lined - Accent 4"/>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62">
    <w:name w:val="Lined - Accent 5"/>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4472C4" w:themeFill="accent5"/>
      </w:tcPr>
    </w:tblStylePr>
    <w:tblStylePr w:type="lastRow">
      <w:rPr>
        <w:rFonts w:ascii="Arial" w:hAnsi="Arial"/>
        <w:color w:val="F2F2F2"/>
        <w:sz w:val="22"/>
      </w:rPr>
      <w:tcPr>
        <w:shd w:val="clear" w:color="auto" w:fill="4472C4" w:themeFill="accent5"/>
      </w:tcPr>
    </w:tblStylePr>
    <w:tblStylePr w:type="firstCol">
      <w:rPr>
        <w:rFonts w:ascii="Arial" w:hAnsi="Arial"/>
        <w:color w:val="F2F2F2"/>
        <w:sz w:val="22"/>
      </w:rPr>
      <w:tcPr>
        <w:shd w:val="clear" w:color="auto" w:fill="4472C4" w:themeFill="accent5"/>
      </w:tcPr>
    </w:tblStylePr>
    <w:tblStylePr w:type="lastCol">
      <w:rPr>
        <w:rFonts w:ascii="Arial" w:hAnsi="Arial"/>
        <w:color w:val="F2F2F2"/>
        <w:sz w:val="22"/>
      </w:r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8E2F2" w:themeFill="accent5" w:themeFillTint="34"/>
      </w:tcPr>
    </w:tblStylePr>
    <w:tblStylePr w:type="neCell"/>
    <w:tblStylePr w:type="nwCell"/>
    <w:tblStylePr w:type="seCell"/>
    <w:tblStylePr w:type="swCell"/>
  </w:style>
  <w:style w:type="table" w:customStyle="1" w:styleId="163">
    <w:name w:val="Lined - Accent 6"/>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neCell"/>
    <w:tblStylePr w:type="nwCell"/>
    <w:tblStylePr w:type="seCell"/>
    <w:tblStylePr w:type="swCell"/>
  </w:style>
  <w:style w:type="table" w:customStyle="1" w:styleId="164">
    <w:name w:val="Bordered &amp; Lined - Accent"/>
    <w:basedOn w:val="28"/>
    <w:qFormat/>
    <w:uiPriority w:val="99"/>
    <w:pPr>
      <w:overflowPunct w:val="0"/>
      <w:autoSpaceDE w:val="0"/>
      <w:autoSpaceDN w:val="0"/>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65">
    <w:name w:val="Bordered &amp; Lined - Accent 1"/>
    <w:basedOn w:val="28"/>
    <w:qFormat/>
    <w:uiPriority w:val="99"/>
    <w:pPr>
      <w:overflowPunct w:val="0"/>
      <w:autoSpaceDE w:val="0"/>
      <w:autoSpaceDN w:val="0"/>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auto" w:fill="68A3D8" w:themeFill="accent1" w:themeFillTint="EA"/>
      </w:tcPr>
    </w:tblStylePr>
    <w:tblStylePr w:type="lastRow">
      <w:rPr>
        <w:rFonts w:ascii="Arial" w:hAnsi="Arial"/>
        <w:color w:val="F2F2F2"/>
        <w:sz w:val="22"/>
      </w:rPr>
      <w:tcPr>
        <w:shd w:val="clear" w:color="auto" w:fill="68A3D8" w:themeFill="accent1" w:themeFillTint="EA"/>
      </w:tcPr>
    </w:tblStylePr>
    <w:tblStylePr w:type="firstCol">
      <w:rPr>
        <w:rFonts w:ascii="Arial" w:hAnsi="Arial"/>
        <w:color w:val="F2F2F2"/>
        <w:sz w:val="22"/>
      </w:rPr>
      <w:tcPr>
        <w:shd w:val="clear" w:color="auto" w:fill="68A3D8" w:themeFill="accent1" w:themeFillTint="EA"/>
      </w:tcPr>
    </w:tblStylePr>
    <w:tblStylePr w:type="lastCol">
      <w:rPr>
        <w:rFonts w:ascii="Arial" w:hAnsi="Arial"/>
        <w:color w:val="F2F2F2"/>
        <w:sz w:val="22"/>
      </w:rPr>
      <w:tcPr>
        <w:shd w:val="clear" w:color="auto"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BDFF1" w:themeFill="accent1" w:themeFillTint="50"/>
      </w:tcPr>
    </w:tblStylePr>
  </w:style>
  <w:style w:type="table" w:customStyle="1" w:styleId="166">
    <w:name w:val="Bordered &amp; Lined - Accent 2"/>
    <w:basedOn w:val="28"/>
    <w:qFormat/>
    <w:uiPriority w:val="99"/>
    <w:pPr>
      <w:overflowPunct w:val="0"/>
      <w:autoSpaceDE w:val="0"/>
      <w:autoSpaceDN w:val="0"/>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67">
    <w:name w:val="Bordered &amp; Lined - Accent 3"/>
    <w:basedOn w:val="28"/>
    <w:qFormat/>
    <w:uiPriority w:val="99"/>
    <w:pPr>
      <w:overflowPunct w:val="0"/>
      <w:autoSpaceDE w:val="0"/>
      <w:autoSpaceDN w:val="0"/>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68">
    <w:name w:val="Bordered &amp; Lined - Accent 4"/>
    <w:basedOn w:val="28"/>
    <w:qFormat/>
    <w:uiPriority w:val="99"/>
    <w:pPr>
      <w:overflowPunct w:val="0"/>
      <w:autoSpaceDE w:val="0"/>
      <w:autoSpaceDN w:val="0"/>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69">
    <w:name w:val="Bordered &amp; Lined - Accent 5"/>
    <w:basedOn w:val="28"/>
    <w:qFormat/>
    <w:uiPriority w:val="99"/>
    <w:pPr>
      <w:overflowPunct w:val="0"/>
      <w:autoSpaceDE w:val="0"/>
      <w:autoSpaceDN w:val="0"/>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auto" w:fill="4472C4" w:themeFill="accent5"/>
      </w:tcPr>
    </w:tblStylePr>
    <w:tblStylePr w:type="lastRow">
      <w:rPr>
        <w:rFonts w:ascii="Arial" w:hAnsi="Arial"/>
        <w:color w:val="F2F2F2"/>
        <w:sz w:val="22"/>
      </w:rPr>
      <w:tcPr>
        <w:shd w:val="clear" w:color="auto" w:fill="4472C4" w:themeFill="accent5"/>
      </w:tcPr>
    </w:tblStylePr>
    <w:tblStylePr w:type="firstCol">
      <w:rPr>
        <w:rFonts w:ascii="Arial" w:hAnsi="Arial"/>
        <w:color w:val="F2F2F2"/>
        <w:sz w:val="22"/>
      </w:rPr>
      <w:tcPr>
        <w:shd w:val="clear" w:color="auto" w:fill="4472C4" w:themeFill="accent5"/>
      </w:tcPr>
    </w:tblStylePr>
    <w:tblStylePr w:type="lastCol">
      <w:rPr>
        <w:rFonts w:ascii="Arial" w:hAnsi="Arial"/>
        <w:color w:val="F2F2F2"/>
        <w:sz w:val="22"/>
      </w:r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8E2F2" w:themeFill="accent5" w:themeFillTint="34"/>
      </w:tcPr>
    </w:tblStylePr>
    <w:tblStylePr w:type="neCell"/>
    <w:tblStylePr w:type="nwCell"/>
    <w:tblStylePr w:type="seCell"/>
    <w:tblStylePr w:type="swCell"/>
  </w:style>
  <w:style w:type="table" w:customStyle="1" w:styleId="170">
    <w:name w:val="Bordered &amp; Lined - Accent 6"/>
    <w:basedOn w:val="28"/>
    <w:qFormat/>
    <w:uiPriority w:val="99"/>
    <w:pPr>
      <w:overflowPunct w:val="0"/>
      <w:autoSpaceDE w:val="0"/>
      <w:autoSpaceDN w:val="0"/>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neCell"/>
    <w:tblStylePr w:type="nwCell"/>
    <w:tblStylePr w:type="seCell"/>
    <w:tblStylePr w:type="swCell"/>
  </w:style>
  <w:style w:type="table" w:customStyle="1" w:styleId="171">
    <w:name w:val="Bordered"/>
    <w:basedOn w:val="28"/>
    <w:qFormat/>
    <w:uiPriority w:val="99"/>
    <w:pPr>
      <w:overflowPunct w:val="0"/>
      <w:autoSpaceDE w:val="0"/>
      <w:autoSpaceDN w:val="0"/>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2">
    <w:name w:val="Bordered - Accent 1"/>
    <w:basedOn w:val="28"/>
    <w:qFormat/>
    <w:uiPriority w:val="99"/>
    <w:pPr>
      <w:overflowPunct w:val="0"/>
      <w:autoSpaceDE w:val="0"/>
      <w:autoSpaceDN w:val="0"/>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73">
    <w:name w:val="Bordered - Accent 2"/>
    <w:basedOn w:val="28"/>
    <w:qFormat/>
    <w:uiPriority w:val="99"/>
    <w:pPr>
      <w:overflowPunct w:val="0"/>
      <w:autoSpaceDE w:val="0"/>
      <w:autoSpaceDN w:val="0"/>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74">
    <w:name w:val="Bordered - Accent 3"/>
    <w:basedOn w:val="28"/>
    <w:qFormat/>
    <w:uiPriority w:val="99"/>
    <w:pPr>
      <w:overflowPunct w:val="0"/>
      <w:autoSpaceDE w:val="0"/>
      <w:autoSpaceDN w:val="0"/>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75">
    <w:name w:val="Bordered - Accent 4"/>
    <w:basedOn w:val="28"/>
    <w:qFormat/>
    <w:uiPriority w:val="99"/>
    <w:pPr>
      <w:overflowPunct w:val="0"/>
      <w:autoSpaceDE w:val="0"/>
      <w:autoSpaceDN w:val="0"/>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76">
    <w:name w:val="Bordered - Accent 5"/>
    <w:basedOn w:val="28"/>
    <w:qFormat/>
    <w:uiPriority w:val="99"/>
    <w:pPr>
      <w:overflowPunct w:val="0"/>
      <w:autoSpaceDE w:val="0"/>
      <w:autoSpaceDN w:val="0"/>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77">
    <w:name w:val="Bordered - Accent 6"/>
    <w:basedOn w:val="28"/>
    <w:qFormat/>
    <w:uiPriority w:val="99"/>
    <w:pPr>
      <w:overflowPunct w:val="0"/>
      <w:autoSpaceDE w:val="0"/>
      <w:autoSpaceDN w:val="0"/>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78">
    <w:name w:val="Footnote Text Char"/>
    <w:link w:val="23"/>
    <w:qFormat/>
    <w:uiPriority w:val="99"/>
    <w:rPr>
      <w:sz w:val="18"/>
    </w:rPr>
  </w:style>
  <w:style w:type="paragraph" w:customStyle="1" w:styleId="179">
    <w:name w:val="TOC Heading"/>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FFFFFF" w:fill="auto"/>
      <w:overflowPunct w:val="0"/>
      <w:autoSpaceDE w:val="0"/>
      <w:autoSpaceDN w:val="0"/>
      <w:spacing w:before="0" w:beforeAutospacing="0" w:after="0" w:afterAutospacing="0" w:line="240" w:lineRule="auto"/>
      <w:ind w:left="0" w:right="0" w:firstLine="0"/>
      <w:jc w:val="left"/>
    </w:pPr>
    <w:rPr>
      <w:rFonts w:hint="default" w:ascii="Calibri" w:hAnsi="Calibri" w:eastAsia="宋体" w:cs="Calibri"/>
      <w:color w:val="auto"/>
      <w:spacing w:val="0"/>
      <w:position w:val="0"/>
      <w:sz w:val="21"/>
      <w:szCs w:val="22"/>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ScaleCrop>false</ScaleCrop>
  <LinksUpToDate>false</LinksUpToDate>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2014-11-09T20:08:00Z</dcterms:created>
  <dc:creator>GWS</dc:creator>
  <cp:lastModifiedBy>GWSFW</cp:lastModifiedBy>
  <cp:lastPrinted>2026-08-13T02:47:00Z</cp:lastPrinted>
  <dcterms:modified xsi:type="dcterms:W3CDTF">2026-08-13T15:42:26Z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CDC4C951463E6C6DC46F4F6878C941E8</vt:lpwstr>
  </property>
</Properties>
</file>